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Siatka"/>
        <w:tblpPr w:leftFromText="141" w:rightFromText="141" w:vertAnchor="text" w:tblpY="1"/>
        <w:tblOverlap w:val="never"/>
        <w:tblW w:w="14029" w:type="dxa"/>
        <w:tblLook w:val="04A0" w:firstRow="1" w:lastRow="0" w:firstColumn="1" w:lastColumn="0" w:noHBand="0" w:noVBand="1"/>
      </w:tblPr>
      <w:tblGrid>
        <w:gridCol w:w="14029"/>
      </w:tblGrid>
      <w:tr w:rsidR="00B93182" w:rsidRPr="00D128EF" w14:paraId="419119C5" w14:textId="05027823" w:rsidTr="00A45514">
        <w:trPr>
          <w:trHeight w:val="699"/>
        </w:trPr>
        <w:tc>
          <w:tcPr>
            <w:tcW w:w="14029" w:type="dxa"/>
            <w:shd w:val="clear" w:color="auto" w:fill="385623" w:themeFill="accent6" w:themeFillShade="80"/>
            <w:vAlign w:val="center"/>
          </w:tcPr>
          <w:p w14:paraId="29433F8C" w14:textId="77777777" w:rsidR="00522E6D" w:rsidRDefault="00522E6D" w:rsidP="00522E6D">
            <w:pPr>
              <w:ind w:firstLine="0"/>
              <w:jc w:val="center"/>
              <w:rPr>
                <w:rFonts w:ascii="Arial" w:hAnsi="Arial" w:cs="Arial"/>
                <w:b/>
                <w:color w:val="FFFFFF" w:themeColor="background1"/>
                <w:spacing w:val="-2"/>
                <w:sz w:val="16"/>
                <w:szCs w:val="16"/>
              </w:rPr>
            </w:pPr>
            <w:r w:rsidRPr="00093A51">
              <w:rPr>
                <w:rFonts w:ascii="Arial" w:hAnsi="Arial" w:cs="Arial"/>
                <w:b/>
                <w:noProof/>
                <w:color w:val="FFFFFF" w:themeColor="background1"/>
                <w:spacing w:val="-2"/>
                <w:sz w:val="16"/>
                <w:szCs w:val="16"/>
              </w:rPr>
              <mc:AlternateContent>
                <mc:Choice Requires="wps">
                  <w:drawing>
                    <wp:anchor distT="45720" distB="45720" distL="114300" distR="114300" simplePos="0" relativeHeight="251659264" behindDoc="0" locked="0" layoutInCell="1" allowOverlap="1" wp14:anchorId="57B1B688" wp14:editId="61B5185D">
                      <wp:simplePos x="0" y="0"/>
                      <wp:positionH relativeFrom="column">
                        <wp:posOffset>4642485</wp:posOffset>
                      </wp:positionH>
                      <wp:positionV relativeFrom="paragraph">
                        <wp:posOffset>127635</wp:posOffset>
                      </wp:positionV>
                      <wp:extent cx="4076700" cy="182880"/>
                      <wp:effectExtent l="0" t="0" r="19050" b="2667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82880"/>
                              </a:xfrm>
                              <a:prstGeom prst="rect">
                                <a:avLst/>
                              </a:prstGeom>
                              <a:solidFill>
                                <a:srgbClr val="FFFFFF"/>
                              </a:solidFill>
                              <a:ln w="9525">
                                <a:solidFill>
                                  <a:srgbClr val="000000"/>
                                </a:solidFill>
                                <a:miter lim="800000"/>
                                <a:headEnd/>
                                <a:tailEnd/>
                              </a:ln>
                            </wps:spPr>
                            <wps:txbx>
                              <w:txbxContent>
                                <w:p w14:paraId="23E65546" w14:textId="28C2C585" w:rsidR="00522E6D" w:rsidRPr="00522E6D" w:rsidRDefault="00522E6D" w:rsidP="001E6369">
                                  <w:pPr>
                                    <w:shd w:val="clear" w:color="auto" w:fill="FFFFFF" w:themeFill="background1"/>
                                    <w:ind w:firstLine="0"/>
                                    <w:rPr>
                                      <w:rFonts w:ascii="Arial" w:hAnsi="Arial" w:cs="Arial"/>
                                      <w:sz w:val="18"/>
                                      <w:szCs w:val="18"/>
                                    </w:rPr>
                                  </w:pPr>
                                  <w:r w:rsidRPr="00522E6D">
                                    <w:rPr>
                                      <w:rFonts w:ascii="Arial" w:hAnsi="Arial" w:cs="Arial"/>
                                      <w:b/>
                                      <w:bCs/>
                                      <w:sz w:val="18"/>
                                      <w:szCs w:val="18"/>
                                      <w:shd w:val="clear" w:color="auto" w:fill="FFFFFF" w:themeFill="background1"/>
                                    </w:rPr>
                                    <w:t xml:space="preserve"> Kolor –</w:t>
                                  </w:r>
                                  <w:r w:rsidRPr="00522E6D">
                                    <w:rPr>
                                      <w:rFonts w:ascii="Arial" w:hAnsi="Arial" w:cs="Arial"/>
                                      <w:b/>
                                      <w:bCs/>
                                      <w:sz w:val="18"/>
                                      <w:szCs w:val="18"/>
                                    </w:rPr>
                                    <w:t xml:space="preserve"> </w:t>
                                  </w:r>
                                  <w:r w:rsidRPr="00522E6D">
                                    <w:rPr>
                                      <w:rFonts w:ascii="Arial" w:hAnsi="Arial" w:cs="Arial"/>
                                      <w:sz w:val="20"/>
                                      <w:szCs w:val="20"/>
                                    </w:rPr>
                                    <w:sym w:font="Wingdings" w:char="F06E"/>
                                  </w:r>
                                  <w:r>
                                    <w:rPr>
                                      <w:rFonts w:ascii="Arial" w:hAnsi="Arial" w:cs="Arial"/>
                                      <w:color w:val="002060"/>
                                      <w:sz w:val="18"/>
                                      <w:szCs w:val="18"/>
                                    </w:rPr>
                                    <w:t xml:space="preserve"> </w:t>
                                  </w:r>
                                  <w:r w:rsidRPr="00522E6D">
                                    <w:rPr>
                                      <w:rFonts w:ascii="Arial" w:hAnsi="Arial" w:cs="Arial"/>
                                      <w:sz w:val="20"/>
                                      <w:szCs w:val="20"/>
                                    </w:rPr>
                                    <w:t xml:space="preserve">brak zmiany </w:t>
                                  </w:r>
                                  <w:r w:rsidRPr="00522E6D">
                                    <w:rPr>
                                      <w:rFonts w:ascii="Arial" w:hAnsi="Arial" w:cs="Arial"/>
                                      <w:color w:val="002060"/>
                                      <w:position w:val="-2"/>
                                      <w:sz w:val="22"/>
                                    </w:rPr>
                                    <w:sym w:font="Wingdings" w:char="F06E"/>
                                  </w:r>
                                  <w:r w:rsidRPr="00522E6D">
                                    <w:rPr>
                                      <w:rFonts w:ascii="Arial" w:hAnsi="Arial" w:cs="Arial"/>
                                      <w:color w:val="002060"/>
                                      <w:sz w:val="18"/>
                                      <w:szCs w:val="18"/>
                                    </w:rPr>
                                    <w:t xml:space="preserve">dodano </w:t>
                                  </w:r>
                                  <w:r>
                                    <w:rPr>
                                      <w:rFonts w:ascii="Arial" w:hAnsi="Arial" w:cs="Arial"/>
                                      <w:color w:val="002060"/>
                                      <w:sz w:val="18"/>
                                      <w:szCs w:val="18"/>
                                    </w:rPr>
                                    <w:t xml:space="preserve">nowy </w:t>
                                  </w:r>
                                  <w:r w:rsidRPr="00522E6D">
                                    <w:rPr>
                                      <w:rFonts w:ascii="Arial" w:hAnsi="Arial" w:cs="Arial"/>
                                      <w:color w:val="002060"/>
                                      <w:sz w:val="18"/>
                                      <w:szCs w:val="18"/>
                                    </w:rPr>
                                    <w:t xml:space="preserve">tekst, </w:t>
                                  </w:r>
                                  <w:r w:rsidRPr="00522E6D">
                                    <w:rPr>
                                      <w:rFonts w:ascii="Arial" w:hAnsi="Arial" w:cs="Arial"/>
                                      <w:color w:val="FF0000"/>
                                      <w:position w:val="-2"/>
                                      <w:sz w:val="22"/>
                                    </w:rPr>
                                    <w:sym w:font="Wingdings" w:char="F06E"/>
                                  </w:r>
                                  <w:r>
                                    <w:rPr>
                                      <w:rFonts w:ascii="Arial" w:hAnsi="Arial" w:cs="Arial"/>
                                      <w:color w:val="FF0000"/>
                                      <w:sz w:val="18"/>
                                      <w:szCs w:val="18"/>
                                    </w:rPr>
                                    <w:t xml:space="preserve"> </w:t>
                                  </w:r>
                                  <w:r w:rsidRPr="00522E6D">
                                    <w:rPr>
                                      <w:rFonts w:ascii="Arial" w:hAnsi="Arial" w:cs="Arial"/>
                                      <w:color w:val="FF0000"/>
                                      <w:sz w:val="18"/>
                                      <w:szCs w:val="18"/>
                                    </w:rPr>
                                    <w:t xml:space="preserve">skreślenie </w:t>
                                  </w:r>
                                  <w:r>
                                    <w:rPr>
                                      <w:rFonts w:ascii="Arial" w:hAnsi="Arial" w:cs="Arial"/>
                                      <w:color w:val="FF0000"/>
                                      <w:sz w:val="18"/>
                                      <w:szCs w:val="18"/>
                                    </w:rPr>
                                    <w:t xml:space="preserve">aktualnego </w:t>
                                  </w:r>
                                  <w:r w:rsidRPr="00522E6D">
                                    <w:rPr>
                                      <w:rFonts w:ascii="Arial" w:hAnsi="Arial" w:cs="Arial"/>
                                      <w:color w:val="FF0000"/>
                                      <w:sz w:val="18"/>
                                      <w:szCs w:val="18"/>
                                    </w:rPr>
                                    <w:t>tekstu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B1B688" id="_x0000_t202" coordsize="21600,21600" o:spt="202" path="m,l,21600r21600,l21600,xe">
                      <v:stroke joinstyle="miter"/>
                      <v:path gradientshapeok="t" o:connecttype="rect"/>
                    </v:shapetype>
                    <v:shape id="Pole tekstowe 2" o:spid="_x0000_s1026" type="#_x0000_t202" style="position:absolute;left:0;text-align:left;margin-left:365.55pt;margin-top:10.05pt;width:321pt;height:1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">
                      <v:textbox inset="0,0,0,0">
                        <w:txbxContent>
                          <w:p w14:paraId="23E65546" w14:textId="28C2C585" w:rsidR="00522E6D" w:rsidRPr="00522E6D" w:rsidRDefault="00522E6D" w:rsidP="001E6369">
                            <w:pPr>
                              <w:shd w:val="clear" w:color="auto" w:fill="FFFFFF" w:themeFill="background1"/>
                              <w:ind w:firstLine="0"/>
                              <w:rPr>
                                <w:rFonts w:ascii="Arial" w:hAnsi="Arial" w:cs="Arial"/>
                                <w:sz w:val="18"/>
                                <w:szCs w:val="18"/>
                              </w:rPr>
                            </w:pPr>
                            <w:r w:rsidRPr="00522E6D">
                              <w:rPr>
                                <w:rFonts w:ascii="Arial" w:hAnsi="Arial" w:cs="Arial"/>
                                <w:b/>
                                <w:bCs/>
                                <w:sz w:val="18"/>
                                <w:szCs w:val="18"/>
                                <w:shd w:val="clear" w:color="auto" w:fill="FFFFFF" w:themeFill="background1"/>
                              </w:rPr>
                              <w:t xml:space="preserve"> Kolor –</w:t>
                            </w:r>
                            <w:r w:rsidRPr="00522E6D">
                              <w:rPr>
                                <w:rFonts w:ascii="Arial" w:hAnsi="Arial" w:cs="Arial"/>
                                <w:b/>
                                <w:bCs/>
                                <w:sz w:val="18"/>
                                <w:szCs w:val="18"/>
                              </w:rPr>
                              <w:t xml:space="preserve"> </w:t>
                            </w:r>
                            <w:r w:rsidRPr="00522E6D">
                              <w:rPr>
                                <w:rFonts w:ascii="Arial" w:hAnsi="Arial" w:cs="Arial"/>
                                <w:sz w:val="20"/>
                                <w:szCs w:val="20"/>
                              </w:rPr>
                              <w:sym w:font="Wingdings" w:char="F06E"/>
                            </w:r>
                            <w:r>
                              <w:rPr>
                                <w:rFonts w:ascii="Arial" w:hAnsi="Arial" w:cs="Arial"/>
                                <w:color w:val="002060"/>
                                <w:sz w:val="18"/>
                                <w:szCs w:val="18"/>
                              </w:rPr>
                              <w:t xml:space="preserve"> </w:t>
                            </w:r>
                            <w:r w:rsidRPr="00522E6D">
                              <w:rPr>
                                <w:rFonts w:ascii="Arial" w:hAnsi="Arial" w:cs="Arial"/>
                                <w:sz w:val="20"/>
                                <w:szCs w:val="20"/>
                              </w:rPr>
                              <w:t xml:space="preserve">brak zmiany </w:t>
                            </w:r>
                            <w:r w:rsidRPr="00522E6D">
                              <w:rPr>
                                <w:rFonts w:ascii="Arial" w:hAnsi="Arial" w:cs="Arial"/>
                                <w:color w:val="002060"/>
                                <w:position w:val="-2"/>
                                <w:sz w:val="22"/>
                              </w:rPr>
                              <w:sym w:font="Wingdings" w:char="F06E"/>
                            </w:r>
                            <w:r w:rsidRPr="00522E6D">
                              <w:rPr>
                                <w:rFonts w:ascii="Arial" w:hAnsi="Arial" w:cs="Arial"/>
                                <w:color w:val="002060"/>
                                <w:sz w:val="18"/>
                                <w:szCs w:val="18"/>
                              </w:rPr>
                              <w:t xml:space="preserve">dodano </w:t>
                            </w:r>
                            <w:r>
                              <w:rPr>
                                <w:rFonts w:ascii="Arial" w:hAnsi="Arial" w:cs="Arial"/>
                                <w:color w:val="002060"/>
                                <w:sz w:val="18"/>
                                <w:szCs w:val="18"/>
                              </w:rPr>
                              <w:t xml:space="preserve">nowy </w:t>
                            </w:r>
                            <w:r w:rsidRPr="00522E6D">
                              <w:rPr>
                                <w:rFonts w:ascii="Arial" w:hAnsi="Arial" w:cs="Arial"/>
                                <w:color w:val="002060"/>
                                <w:sz w:val="18"/>
                                <w:szCs w:val="18"/>
                              </w:rPr>
                              <w:t xml:space="preserve">tekst, </w:t>
                            </w:r>
                            <w:r w:rsidRPr="00522E6D">
                              <w:rPr>
                                <w:rFonts w:ascii="Arial" w:hAnsi="Arial" w:cs="Arial"/>
                                <w:color w:val="FF0000"/>
                                <w:position w:val="-2"/>
                                <w:sz w:val="22"/>
                              </w:rPr>
                              <w:sym w:font="Wingdings" w:char="F06E"/>
                            </w:r>
                            <w:r>
                              <w:rPr>
                                <w:rFonts w:ascii="Arial" w:hAnsi="Arial" w:cs="Arial"/>
                                <w:color w:val="FF0000"/>
                                <w:sz w:val="18"/>
                                <w:szCs w:val="18"/>
                              </w:rPr>
                              <w:t xml:space="preserve"> </w:t>
                            </w:r>
                            <w:r w:rsidRPr="00522E6D">
                              <w:rPr>
                                <w:rFonts w:ascii="Arial" w:hAnsi="Arial" w:cs="Arial"/>
                                <w:color w:val="FF0000"/>
                                <w:sz w:val="18"/>
                                <w:szCs w:val="18"/>
                              </w:rPr>
                              <w:t xml:space="preserve">skreślenie </w:t>
                            </w:r>
                            <w:r>
                              <w:rPr>
                                <w:rFonts w:ascii="Arial" w:hAnsi="Arial" w:cs="Arial"/>
                                <w:color w:val="FF0000"/>
                                <w:sz w:val="18"/>
                                <w:szCs w:val="18"/>
                              </w:rPr>
                              <w:t xml:space="preserve">aktualnego </w:t>
                            </w:r>
                            <w:r w:rsidRPr="00522E6D">
                              <w:rPr>
                                <w:rFonts w:ascii="Arial" w:hAnsi="Arial" w:cs="Arial"/>
                                <w:color w:val="FF0000"/>
                                <w:sz w:val="18"/>
                                <w:szCs w:val="18"/>
                              </w:rPr>
                              <w:t>tekstu</w:t>
                            </w:r>
                          </w:p>
                        </w:txbxContent>
                      </v:textbox>
                      <w10:wrap type="square"/>
                    </v:shape>
                  </w:pict>
                </mc:Fallback>
              </mc:AlternateContent>
            </w:r>
            <w:r w:rsidR="00093A51" w:rsidRPr="00093A51">
              <w:rPr>
                <w:rFonts w:ascii="Arial" w:hAnsi="Arial" w:cs="Arial"/>
                <w:b/>
                <w:color w:val="FFFFFF" w:themeColor="background1"/>
                <w:spacing w:val="-2"/>
                <w:sz w:val="16"/>
                <w:szCs w:val="16"/>
              </w:rPr>
              <w:t xml:space="preserve">Projekt </w:t>
            </w:r>
            <w:r w:rsidR="003958B3" w:rsidRPr="00093A51">
              <w:rPr>
                <w:rFonts w:ascii="Arial" w:hAnsi="Arial" w:cs="Arial"/>
                <w:b/>
                <w:color w:val="FFFFFF" w:themeColor="background1"/>
                <w:spacing w:val="-2"/>
                <w:sz w:val="16"/>
                <w:szCs w:val="16"/>
              </w:rPr>
              <w:t>Ustaw</w:t>
            </w:r>
            <w:r w:rsidR="00093A51" w:rsidRPr="00093A51">
              <w:rPr>
                <w:rFonts w:ascii="Arial" w:hAnsi="Arial" w:cs="Arial"/>
                <w:b/>
                <w:color w:val="FFFFFF" w:themeColor="background1"/>
                <w:spacing w:val="-2"/>
                <w:sz w:val="16"/>
                <w:szCs w:val="16"/>
              </w:rPr>
              <w:t>y</w:t>
            </w:r>
            <w:r w:rsidR="003958B3" w:rsidRPr="00093A51">
              <w:rPr>
                <w:rFonts w:ascii="Arial" w:hAnsi="Arial" w:cs="Arial"/>
                <w:b/>
                <w:color w:val="FFFFFF" w:themeColor="background1"/>
                <w:spacing w:val="-2"/>
                <w:sz w:val="16"/>
                <w:szCs w:val="16"/>
              </w:rPr>
              <w:t xml:space="preserve"> z dnia (</w:t>
            </w:r>
            <w:r w:rsidRPr="00093A51">
              <w:rPr>
                <w:rFonts w:ascii="Arial" w:hAnsi="Arial" w:cs="Arial"/>
                <w:b/>
                <w:color w:val="FFFFFF" w:themeColor="background1"/>
                <w:spacing w:val="-2"/>
                <w:sz w:val="14"/>
                <w:szCs w:val="14"/>
              </w:rPr>
              <w:t>DD-MM-RRR</w:t>
            </w:r>
            <w:r w:rsidR="003958B3" w:rsidRPr="00093A51">
              <w:rPr>
                <w:rFonts w:ascii="Arial" w:hAnsi="Arial" w:cs="Arial"/>
                <w:b/>
                <w:color w:val="FFFFFF" w:themeColor="background1"/>
                <w:spacing w:val="-2"/>
                <w:sz w:val="16"/>
                <w:szCs w:val="16"/>
              </w:rPr>
              <w:t>)o zmianie ustawy – Kodeks karny, ustawy – Kodeks postępowania karnego oraz niektórych innych ustaw</w:t>
            </w:r>
          </w:p>
          <w:p w14:paraId="3A5227AD" w14:textId="4CEE330A" w:rsidR="00093A51" w:rsidRPr="00D128EF" w:rsidRDefault="00093A51" w:rsidP="00522E6D">
            <w:pPr>
              <w:ind w:firstLine="0"/>
              <w:jc w:val="center"/>
              <w:rPr>
                <w:rFonts w:ascii="Arial" w:hAnsi="Arial" w:cs="Arial"/>
                <w:b/>
                <w:color w:val="FFFFFF" w:themeColor="background1"/>
                <w:spacing w:val="-2"/>
                <w:sz w:val="20"/>
                <w:szCs w:val="20"/>
              </w:rPr>
            </w:pPr>
            <w:hyperlink r:id="rId7" w:history="1">
              <w:r w:rsidRPr="00093A51">
                <w:rPr>
                  <w:rStyle w:val="Hipercze"/>
                  <w:rFonts w:ascii="Arial" w:hAnsi="Arial" w:cs="Arial"/>
                  <w:b/>
                  <w:color w:val="D0CECE" w:themeColor="background2" w:themeShade="E6"/>
                  <w:spacing w:val="-2"/>
                  <w:sz w:val="16"/>
                  <w:szCs w:val="16"/>
                </w:rPr>
                <w:t>https://legislacja.rcl.gov.pl/projekt/12390959</w:t>
              </w:r>
            </w:hyperlink>
            <w:r>
              <w:rPr>
                <w:rFonts w:ascii="Arial" w:hAnsi="Arial" w:cs="Arial"/>
                <w:b/>
                <w:color w:val="FFFFFF" w:themeColor="background1"/>
                <w:spacing w:val="-2"/>
                <w:sz w:val="16"/>
                <w:szCs w:val="16"/>
              </w:rPr>
              <w:t xml:space="preserve">   (UD153)</w:t>
            </w:r>
          </w:p>
        </w:tc>
      </w:tr>
      <w:tr w:rsidR="003958B3" w:rsidRPr="00D128EF" w14:paraId="6DA98048" w14:textId="77777777" w:rsidTr="00522E6D">
        <w:trPr>
          <w:trHeight w:val="559"/>
        </w:trPr>
        <w:tc>
          <w:tcPr>
            <w:tcW w:w="14029" w:type="dxa"/>
            <w:shd w:val="clear" w:color="auto" w:fill="FFFFFF" w:themeFill="background1"/>
            <w:vAlign w:val="center"/>
          </w:tcPr>
          <w:p w14:paraId="27EA96D7" w14:textId="26D477FF" w:rsidR="003958B3" w:rsidRPr="00D128EF" w:rsidRDefault="003958B3" w:rsidP="003958B3">
            <w:pPr>
              <w:pStyle w:val="ZODNONIKAzmtekstuodnonikaartykuempunktem"/>
              <w:spacing w:line="240" w:lineRule="auto"/>
              <w:ind w:left="0" w:firstLine="0"/>
              <w:rPr>
                <w:rFonts w:ascii="Arial" w:hAnsi="Arial"/>
                <w:sz w:val="12"/>
                <w:szCs w:val="8"/>
              </w:rPr>
            </w:pPr>
            <w:r w:rsidRPr="00D128EF">
              <w:rPr>
                <w:rFonts w:ascii="Arial" w:hAnsi="Arial"/>
                <w:bCs/>
                <w:spacing w:val="-2"/>
                <w:sz w:val="20"/>
              </w:rPr>
              <w:t xml:space="preserve">Zmiana odnośnika nr 1 do tytułu ustawy – Kodeks postępowania karnego: </w:t>
            </w:r>
            <w:r w:rsidRPr="00D128EF">
              <w:rPr>
                <w:rFonts w:ascii="Arial" w:hAnsi="Arial"/>
                <w:sz w:val="12"/>
                <w:szCs w:val="8"/>
              </w:rPr>
              <w:t xml:space="preserve"> </w:t>
            </w:r>
            <w:r w:rsidRPr="00D128EF">
              <w:rPr>
                <w:rFonts w:ascii="Arial" w:hAnsi="Arial"/>
                <w:color w:val="002060"/>
                <w:sz w:val="14"/>
                <w:szCs w:val="14"/>
              </w:rPr>
              <w:t>Niniejsza ustawa w zakresie swojej regulacji realizuje postanowienia: 1)</w:t>
            </w:r>
            <w:bookmarkStart w:id="0" w:name="_Hlk175298859"/>
            <w:r w:rsidRPr="00D128EF">
              <w:rPr>
                <w:rFonts w:ascii="Arial" w:hAnsi="Arial"/>
                <w:color w:val="002060"/>
                <w:sz w:val="14"/>
                <w:szCs w:val="14"/>
              </w:rPr>
              <w:t xml:space="preserve"> dyrektywy Parlamentu Europejskiego i Rady 2010/64/UE z dnia 20 października 2010 r. w sprawie prawa do tłumaczenia ustnego i tłumaczenia pisemnego w postępowaniu karnym (Dz. Urz. UE L 280 z 26.10.2010, str. 1); 2) dyrektywy Parlamentu Europejskiego i Rady 2011/99/UE z dnia 13 grudnia 2011 r. w sprawie europejskiego nakazu ochrony (Dz. Urz. UE L 338 z 21.12.2011, str. 2); 3) dyrektywy Parlamentu Europejskiego i Rady 2012/13/UE z dnia 22 maja 2012 r. w sprawie prawa do informacji w postępowaniu karnym (Dz. Urz. UE L 142 z 01.06.2012, str. 1); 4) dyrektywy Parlamentu Europejskiego i Rady 2012/29/UE z dnia 25 października 2012 r. ustanawiająca normy minimalne w zakresie praw, wsparcia i ochrony ofiar przestępstw oraz zastępująca decyzję ramową Rady 2001/220/WSiSW (Dz. Urz. UE L 315 z 14.11.2012, str. 57);</w:t>
            </w:r>
            <w:r w:rsidRPr="00D128EF">
              <w:rPr>
                <w:rFonts w:ascii="Arial" w:hAnsi="Arial"/>
                <w:b/>
                <w:bCs/>
                <w:color w:val="002060"/>
                <w:sz w:val="14"/>
                <w:szCs w:val="14"/>
              </w:rPr>
              <w:t xml:space="preserve"> </w:t>
            </w:r>
            <w:r w:rsidRPr="00D128EF">
              <w:rPr>
                <w:rFonts w:ascii="Arial" w:hAnsi="Arial"/>
                <w:b/>
                <w:bCs/>
                <w:sz w:val="14"/>
                <w:szCs w:val="14"/>
              </w:rPr>
              <w:t>5)</w:t>
            </w:r>
            <w:r w:rsidRPr="00D128EF">
              <w:rPr>
                <w:rFonts w:ascii="Arial" w:hAnsi="Arial"/>
                <w:sz w:val="14"/>
                <w:szCs w:val="14"/>
              </w:rPr>
              <w:t xml:space="preserve"> dyrektywy Parlamentu Europejskiego i Rady 2013/48/UE z dnia 22 października 2013 r. w sprawie prawa dostępu do adwokata w postępowaniu karnym i w postępowaniu dotyczącym europejskiego nakazu aresztowania oraz w sprawie prawa do poinformowania osoby trzeciej o pozbawieniu wolności i prawa do porozumiewania się z osobami trzecimi i organami konsularnymi w czasie pozbawienia wolności (Dz. Urz. UE L 294 z 06.11.2013, str. 1); </w:t>
            </w:r>
            <w:r w:rsidRPr="00D128EF">
              <w:rPr>
                <w:rFonts w:ascii="Arial" w:hAnsi="Arial"/>
                <w:color w:val="002060"/>
                <w:sz w:val="14"/>
                <w:szCs w:val="14"/>
              </w:rPr>
              <w:t>6) dyrektywy Parlamentu Europejskiego i Rady nr 2014/41/UE z dnia 3 kwietnia 2014 r. w sprawie europejskiego nakazu dochodzeniowego w sprawach karnych (Dz. Urz. UE L 130 z 01.05.2014, str. 1); 7) dyrektywy Parlamentu Europejskiego i Rady 2014/42/UE z dnia 3 kwietnia 2014 r. w sprawie zabezpieczenia i konfiskaty narzędzi służących do popełnienia przestępstwa i korzyści pochodzących z przestępstwa w Unii Europejskiej (Dz. Urz. UE L 127 z 29.04.2014, str. 39);</w:t>
            </w:r>
            <w:r w:rsidRPr="00D128EF">
              <w:rPr>
                <w:rFonts w:ascii="Arial" w:hAnsi="Arial"/>
                <w:b/>
                <w:bCs/>
                <w:sz w:val="14"/>
                <w:szCs w:val="14"/>
              </w:rPr>
              <w:t>8)</w:t>
            </w:r>
            <w:r w:rsidRPr="00D128EF">
              <w:rPr>
                <w:rFonts w:ascii="Arial" w:hAnsi="Arial"/>
                <w:color w:val="002060"/>
                <w:sz w:val="14"/>
                <w:szCs w:val="14"/>
              </w:rPr>
              <w:t xml:space="preserve">  </w:t>
            </w:r>
            <w:r w:rsidRPr="00D128EF">
              <w:rPr>
                <w:rFonts w:ascii="Arial" w:hAnsi="Arial"/>
                <w:sz w:val="14"/>
                <w:szCs w:val="14"/>
              </w:rPr>
              <w:t xml:space="preserve">dyrektywy Parlamentu Europejskiego i Rady (UE) 2016/343 z dnia 9 marca 2016 r. w sprawie wzmocnienia niektórych aspektów domniemania niewinności i prawa do obecności na rozprawie w postępowaniu karnym (Dz. Urz. UE L 65 z 11.03.2016, str. 1); </w:t>
            </w:r>
            <w:r w:rsidRPr="00D128EF">
              <w:rPr>
                <w:rFonts w:ascii="Arial" w:hAnsi="Arial"/>
                <w:b/>
                <w:bCs/>
                <w:sz w:val="14"/>
                <w:szCs w:val="14"/>
              </w:rPr>
              <w:t>9)</w:t>
            </w:r>
            <w:r w:rsidRPr="00D128EF">
              <w:rPr>
                <w:rFonts w:ascii="Arial" w:hAnsi="Arial"/>
                <w:sz w:val="14"/>
                <w:szCs w:val="14"/>
              </w:rPr>
              <w:t xml:space="preserve"> dyrektywy Parlamentu Europejskiego i Rady (UE) 2016/800 z dnia 11 maja 2016 r. w sprawie gwarancji procesowych dla dzieci będących podejrzanymi lub oskarżonymi w postępowaniu karnym (Dz. Urz. UE L 132 z 21.05.2016, str. 1); </w:t>
            </w:r>
            <w:r w:rsidRPr="00D128EF">
              <w:rPr>
                <w:rFonts w:ascii="Arial" w:hAnsi="Arial"/>
                <w:b/>
                <w:bCs/>
                <w:sz w:val="14"/>
                <w:szCs w:val="14"/>
              </w:rPr>
              <w:t>10)</w:t>
            </w:r>
            <w:r w:rsidRPr="00D128EF">
              <w:rPr>
                <w:rFonts w:ascii="Arial" w:hAnsi="Arial"/>
                <w:sz w:val="14"/>
                <w:szCs w:val="14"/>
              </w:rPr>
              <w:t xml:space="preserve">  dyrektywy Parlamentu Europejskiego i Rady (UE) 2016/1919 z dnia 26 października 2016 r. w sprawie pomocy prawnej z urzędu dla podejrzanych i oskarżonych w postępowaniu karnym oraz dla osób, których dotyczy wniosek w postępowaniu dotyczącym europejskiego nakazu aresztowania (Dz. Urz. UE L 297 z 04.11.2016, str. 1 oraz Dz. Urz. UE L 91 z 05.04.2017, str. 40); </w:t>
            </w:r>
            <w:r w:rsidRPr="00D128EF">
              <w:rPr>
                <w:rFonts w:ascii="Arial" w:hAnsi="Arial"/>
                <w:color w:val="002060"/>
                <w:sz w:val="14"/>
                <w:szCs w:val="14"/>
              </w:rPr>
              <w:t xml:space="preserve">11) dyrektywy Parlamentu Europejskiego i Rady (UE) 2022/211 z dnia 16 lutego 2022 r. w sprawie zmiany decyzji ramowej Rady 2002/465/WSiSW w odniesieniu do jej dostosowania do przepisów unijnych dotyczących ochrony danych osobowych (Dz. Urz. UE L 37 z 18.02.2022, str. 1); </w:t>
            </w:r>
            <w:bookmarkStart w:id="1" w:name="_Hlk175061764"/>
            <w:r w:rsidRPr="00D128EF">
              <w:rPr>
                <w:rFonts w:ascii="Arial" w:hAnsi="Arial"/>
                <w:color w:val="002060"/>
                <w:sz w:val="14"/>
                <w:szCs w:val="14"/>
              </w:rPr>
              <w:t>12)  dyrektywy Parlamentu Europejskiego i Rady (UE) 2022/228 z dnia 16 lutego 2022 r. w sprawie zmiany dyrektywy 2014/41/UE w odniesieniu do jej dostosowania do przepisów unijnych dotyczących ochrony danych osobowych (Dz. Urz. UE L 39 z 21.02.2022, str. 1).</w:t>
            </w:r>
            <w:bookmarkEnd w:id="0"/>
            <w:bookmarkEnd w:id="1"/>
          </w:p>
        </w:tc>
      </w:tr>
      <w:tr w:rsidR="00B93182" w:rsidRPr="00D128EF" w14:paraId="77AEC40B" w14:textId="6585DA87" w:rsidTr="00522E6D">
        <w:tc>
          <w:tcPr>
            <w:tcW w:w="14029" w:type="dxa"/>
            <w:vAlign w:val="center"/>
          </w:tcPr>
          <w:p w14:paraId="76966305" w14:textId="2C5AD85C" w:rsidR="00B93182" w:rsidRPr="00D128EF" w:rsidRDefault="00B93182" w:rsidP="00F66CAB">
            <w:pPr>
              <w:ind w:firstLine="0"/>
              <w:jc w:val="left"/>
              <w:rPr>
                <w:rFonts w:ascii="Arial" w:hAnsi="Arial" w:cs="Arial"/>
                <w:spacing w:val="-2"/>
                <w:sz w:val="20"/>
                <w:szCs w:val="20"/>
              </w:rPr>
            </w:pPr>
            <w:r w:rsidRPr="00D128EF">
              <w:rPr>
                <w:rFonts w:ascii="Arial" w:hAnsi="Arial" w:cs="Arial"/>
                <w:spacing w:val="-2"/>
                <w:sz w:val="20"/>
                <w:szCs w:val="20"/>
              </w:rPr>
              <w:softHyphen/>
            </w:r>
            <w:r w:rsidRPr="00D128EF">
              <w:rPr>
                <w:rFonts w:ascii="Arial" w:hAnsi="Arial" w:cs="Arial"/>
                <w:b/>
                <w:spacing w:val="-2"/>
                <w:sz w:val="20"/>
                <w:szCs w:val="20"/>
              </w:rPr>
              <w:t xml:space="preserve"> Art. 12 § 3.</w:t>
            </w:r>
            <w:r w:rsidRPr="00D128EF">
              <w:rPr>
                <w:rFonts w:ascii="Arial" w:hAnsi="Arial" w:cs="Arial"/>
                <w:bCs/>
                <w:spacing w:val="-2"/>
                <w:sz w:val="20"/>
                <w:szCs w:val="20"/>
              </w:rPr>
              <w:t xml:space="preserve"> Wniosek może być cofnięty w postępowaniu przygotowawczym za zgodą prokuratora, a w postępowaniu sądowym za zgodą sądu - aż do zamknięcia przewodu sądowego na pierwszej rozprawie głównej. </w:t>
            </w:r>
            <w:r w:rsidRPr="00093A51">
              <w:rPr>
                <w:rFonts w:ascii="Arial" w:hAnsi="Arial" w:cs="Arial"/>
                <w:bCs/>
                <w:strike/>
                <w:color w:val="FF0000"/>
                <w:spacing w:val="-2"/>
                <w:sz w:val="20"/>
                <w:szCs w:val="20"/>
              </w:rPr>
              <w:t>W sprawach, w których akt oskarżenia wniósł oskarżyciel publiczny, cofnięcie wniosku po rozpoczęciu przewodu sądowego jest skuteczne, jeżeli nie sprzeciwi się temu oskarżyciel publiczny obecny na rozprawie lub posiedzeniu.</w:t>
            </w:r>
            <w:r w:rsidRPr="00093A51">
              <w:rPr>
                <w:rFonts w:ascii="Arial" w:hAnsi="Arial" w:cs="Arial"/>
                <w:bCs/>
                <w:color w:val="FF0000"/>
                <w:spacing w:val="-2"/>
                <w:sz w:val="20"/>
                <w:szCs w:val="20"/>
              </w:rPr>
              <w:t xml:space="preserve"> </w:t>
            </w:r>
            <w:r w:rsidRPr="00D128EF">
              <w:rPr>
                <w:rFonts w:ascii="Arial" w:hAnsi="Arial" w:cs="Arial"/>
                <w:bCs/>
                <w:spacing w:val="-2"/>
                <w:sz w:val="20"/>
                <w:szCs w:val="20"/>
              </w:rPr>
              <w:t>Ponowne złożenie wniosku jest niedopuszczalne.</w:t>
            </w:r>
          </w:p>
        </w:tc>
      </w:tr>
      <w:tr w:rsidR="00B93182" w:rsidRPr="00D128EF" w14:paraId="673A51F8" w14:textId="77777777" w:rsidTr="00522E6D">
        <w:tc>
          <w:tcPr>
            <w:tcW w:w="14029" w:type="dxa"/>
            <w:vAlign w:val="center"/>
          </w:tcPr>
          <w:p w14:paraId="5506653F" w14:textId="4CED5525" w:rsidR="00B93182" w:rsidRPr="00D128EF" w:rsidRDefault="00B93182" w:rsidP="00F66CAB">
            <w:pPr>
              <w:ind w:firstLine="0"/>
              <w:jc w:val="left"/>
              <w:rPr>
                <w:rFonts w:ascii="Arial" w:hAnsi="Arial" w:cs="Arial"/>
                <w:bCs/>
                <w:strike/>
                <w:color w:val="FF0000"/>
                <w:spacing w:val="-2"/>
                <w:sz w:val="20"/>
                <w:szCs w:val="20"/>
              </w:rPr>
            </w:pPr>
            <w:r w:rsidRPr="00D128EF">
              <w:rPr>
                <w:rFonts w:ascii="Arial" w:hAnsi="Arial" w:cs="Arial"/>
                <w:b/>
                <w:strike/>
                <w:color w:val="FF0000"/>
                <w:spacing w:val="-2"/>
                <w:sz w:val="20"/>
                <w:szCs w:val="20"/>
              </w:rPr>
              <w:t>Art. 12 § 4.</w:t>
            </w:r>
            <w:r w:rsidRPr="00D128EF">
              <w:rPr>
                <w:rFonts w:ascii="Arial" w:hAnsi="Arial" w:cs="Arial"/>
                <w:bCs/>
                <w:strike/>
                <w:color w:val="FF0000"/>
                <w:spacing w:val="-2"/>
                <w:sz w:val="20"/>
                <w:szCs w:val="20"/>
              </w:rPr>
              <w:t xml:space="preserve"> W sprawie o przestępstwo z art. 190 § 1 Kodeksu karnego można wszcząć i prowadzić postępowanie pomimo niezłożenia wniosku o ściganie, jeżeli zachodzi duże prawdopodobieństwo, że niezłożenie wniosku wynika z obawy pokrzywdzonego przed odwetem albo jeżeli przemawia za tym interes społeczny. W takim przypadku postępowanie do czasu prawomocnego zakończenia toczy się z urzędu.</w:t>
            </w:r>
          </w:p>
        </w:tc>
      </w:tr>
      <w:tr w:rsidR="00B93182" w:rsidRPr="00D128EF" w14:paraId="2C61D6D4" w14:textId="0C351D1D" w:rsidTr="00522E6D">
        <w:tc>
          <w:tcPr>
            <w:tcW w:w="14029" w:type="dxa"/>
          </w:tcPr>
          <w:p w14:paraId="7D14714C" w14:textId="422B2080" w:rsidR="00B93182" w:rsidRPr="00D128EF" w:rsidRDefault="00B93182" w:rsidP="00F66CAB">
            <w:pPr>
              <w:ind w:firstLine="0"/>
              <w:jc w:val="left"/>
              <w:rPr>
                <w:rFonts w:ascii="Arial" w:hAnsi="Arial" w:cs="Arial"/>
                <w:spacing w:val="-2"/>
                <w:sz w:val="20"/>
                <w:szCs w:val="20"/>
              </w:rPr>
            </w:pPr>
            <w:r w:rsidRPr="00D128EF">
              <w:rPr>
                <w:rFonts w:ascii="Arial" w:hAnsi="Arial" w:cs="Arial"/>
                <w:b/>
                <w:bCs/>
                <w:spacing w:val="-2"/>
                <w:sz w:val="20"/>
                <w:szCs w:val="20"/>
              </w:rPr>
              <w:t>Art. 29 § 2.</w:t>
            </w:r>
            <w:r w:rsidRPr="00D128EF">
              <w:rPr>
                <w:rFonts w:ascii="Arial" w:hAnsi="Arial" w:cs="Arial"/>
                <w:spacing w:val="-2"/>
                <w:sz w:val="20"/>
                <w:szCs w:val="20"/>
              </w:rPr>
              <w:t xml:space="preserve"> Apelację lub kasację od wyroku orzekającego karę dożywotniego pozbawienia wolności </w:t>
            </w:r>
            <w:r w:rsidRPr="00D128EF">
              <w:rPr>
                <w:rFonts w:ascii="Arial" w:hAnsi="Arial" w:cs="Arial"/>
                <w:bCs/>
                <w:strike/>
                <w:color w:val="FF0000"/>
                <w:spacing w:val="-2"/>
                <w:sz w:val="20"/>
                <w:szCs w:val="20"/>
              </w:rPr>
              <w:t xml:space="preserve">albo apelację wnoszącą o wymierzenie takiej kary </w:t>
            </w:r>
            <w:r w:rsidRPr="00D128EF">
              <w:rPr>
                <w:rFonts w:ascii="Arial" w:hAnsi="Arial" w:cs="Arial"/>
                <w:spacing w:val="-2"/>
                <w:sz w:val="20"/>
                <w:szCs w:val="20"/>
              </w:rPr>
              <w:t>rozpoznaje sąd w składzie pięciu sędziów.</w:t>
            </w:r>
          </w:p>
        </w:tc>
      </w:tr>
      <w:tr w:rsidR="00B93182" w:rsidRPr="00D128EF" w14:paraId="64E3269D" w14:textId="77777777" w:rsidTr="00522E6D">
        <w:tc>
          <w:tcPr>
            <w:tcW w:w="14029" w:type="dxa"/>
          </w:tcPr>
          <w:p w14:paraId="12081260" w14:textId="78C4FDC2" w:rsidR="00B93182" w:rsidRPr="00D128EF" w:rsidRDefault="00B93182" w:rsidP="00F66CAB">
            <w:pPr>
              <w:ind w:firstLine="0"/>
              <w:jc w:val="left"/>
              <w:rPr>
                <w:rFonts w:ascii="Arial" w:hAnsi="Arial" w:cs="Arial"/>
                <w:spacing w:val="-2"/>
                <w:sz w:val="20"/>
                <w:szCs w:val="20"/>
              </w:rPr>
            </w:pPr>
            <w:r w:rsidRPr="00D128EF">
              <w:rPr>
                <w:rFonts w:ascii="Arial" w:hAnsi="Arial" w:cs="Arial"/>
                <w:b/>
                <w:bCs/>
                <w:spacing w:val="-2"/>
                <w:sz w:val="20"/>
                <w:szCs w:val="20"/>
              </w:rPr>
              <w:t>Art. 34 § 3.</w:t>
            </w:r>
            <w:r w:rsidRPr="00D128EF">
              <w:rPr>
                <w:rFonts w:ascii="Arial" w:hAnsi="Arial" w:cs="Arial"/>
                <w:spacing w:val="-2"/>
                <w:sz w:val="20"/>
                <w:szCs w:val="20"/>
              </w:rPr>
              <w:t xml:space="preserve"> Jeżeli łączne rozpoznanie spraw, o których mowa w § 2, jest istotnie utrudnione z uwagi na przyczyny określone w art. 22 § 1 lub inne ważne powody, można wyłączyć i odrębnie rozpoznać sprawę poszczególnych osób lub o poszczególne czyny</w:t>
            </w:r>
            <w:r w:rsidRPr="00D128EF">
              <w:rPr>
                <w:rFonts w:ascii="Arial" w:hAnsi="Arial" w:cs="Arial"/>
                <w:bCs/>
                <w:strike/>
                <w:color w:val="002060"/>
                <w:spacing w:val="-2"/>
                <w:sz w:val="20"/>
                <w:szCs w:val="20"/>
              </w:rPr>
              <w:t xml:space="preserve">, </w:t>
            </w:r>
            <w:r w:rsidRPr="00D128EF">
              <w:rPr>
                <w:rFonts w:ascii="Arial" w:hAnsi="Arial" w:cs="Arial"/>
                <w:bCs/>
                <w:strike/>
                <w:color w:val="FF0000"/>
                <w:spacing w:val="-2"/>
                <w:sz w:val="20"/>
                <w:szCs w:val="20"/>
              </w:rPr>
              <w:t>chyba że przeszkoda nie ma charakteru długotrwałego lub kontynuowanie postępowania nie narusza prawa do obrony oskarżonego, którego odpowiedzialności karnej przeszkoda dotyczy.</w:t>
            </w:r>
          </w:p>
        </w:tc>
      </w:tr>
      <w:tr w:rsidR="00B93182" w:rsidRPr="00D128EF" w14:paraId="08B52F4A" w14:textId="77777777" w:rsidTr="00522E6D">
        <w:tc>
          <w:tcPr>
            <w:tcW w:w="14029" w:type="dxa"/>
          </w:tcPr>
          <w:p w14:paraId="1B627F4D" w14:textId="350C2E8D" w:rsidR="00B93182" w:rsidRPr="00D128EF" w:rsidRDefault="00B93182" w:rsidP="00522E6D">
            <w:pPr>
              <w:ind w:firstLine="0"/>
              <w:jc w:val="left"/>
              <w:rPr>
                <w:rFonts w:ascii="Arial" w:hAnsi="Arial" w:cs="Arial"/>
                <w:spacing w:val="-2"/>
                <w:sz w:val="20"/>
                <w:szCs w:val="20"/>
              </w:rPr>
            </w:pPr>
            <w:r w:rsidRPr="00D128EF">
              <w:rPr>
                <w:rFonts w:ascii="Arial" w:hAnsi="Arial" w:cs="Arial"/>
                <w:b/>
                <w:bCs/>
                <w:spacing w:val="-2"/>
                <w:sz w:val="20"/>
                <w:szCs w:val="20"/>
              </w:rPr>
              <w:t>Art. 34 §  4.</w:t>
            </w:r>
            <w:r w:rsidRPr="00D128EF">
              <w:rPr>
                <w:rFonts w:ascii="Arial" w:hAnsi="Arial" w:cs="Arial"/>
                <w:spacing w:val="-2"/>
                <w:sz w:val="20"/>
                <w:szCs w:val="20"/>
              </w:rPr>
              <w:t xml:space="preserve"> Sprawa wyłączona po otwarciu przewodu sądowego podlega rozpoznaniu przez sąd, który dokonał wyłączenia, chyba że </w:t>
            </w:r>
            <w:r w:rsidRPr="00D128EF">
              <w:rPr>
                <w:rFonts w:ascii="Arial" w:hAnsi="Arial" w:cs="Arial"/>
                <w:strike/>
                <w:spacing w:val="-2"/>
                <w:sz w:val="20"/>
                <w:szCs w:val="20"/>
              </w:rPr>
              <w:t>nie jest on właściwy rzeczowo.</w:t>
            </w:r>
            <w:r w:rsidR="00522E6D" w:rsidRPr="00D128EF">
              <w:rPr>
                <w:rFonts w:ascii="Arial" w:hAnsi="Arial" w:cs="Arial"/>
                <w:strike/>
                <w:spacing w:val="-2"/>
                <w:sz w:val="20"/>
                <w:szCs w:val="20"/>
              </w:rPr>
              <w:t xml:space="preserve"> </w:t>
            </w:r>
            <w:r w:rsidRPr="00D128EF">
              <w:rPr>
                <w:rFonts w:ascii="Arial" w:hAnsi="Arial" w:cs="Arial"/>
                <w:color w:val="002060"/>
                <w:spacing w:val="-2"/>
                <w:sz w:val="20"/>
                <w:szCs w:val="20"/>
              </w:rPr>
              <w:t>chyba że właściwy jest sąd wyższego rzędu. Jeżeli nie zachodzą przeszkody do rozpoznania jej w tym samym składzie, rozprawa prowadzona jest w dalszym ciągu.</w:t>
            </w:r>
          </w:p>
        </w:tc>
      </w:tr>
      <w:tr w:rsidR="00B93182" w:rsidRPr="00D128EF" w14:paraId="160F1F5B" w14:textId="77777777" w:rsidTr="00522E6D">
        <w:tc>
          <w:tcPr>
            <w:tcW w:w="14029" w:type="dxa"/>
          </w:tcPr>
          <w:p w14:paraId="230B1A4C" w14:textId="24F27A8D" w:rsidR="00B93182" w:rsidRPr="00FB4103" w:rsidRDefault="00B93182" w:rsidP="00F66CAB">
            <w:pPr>
              <w:ind w:firstLine="0"/>
              <w:jc w:val="left"/>
              <w:rPr>
                <w:rFonts w:ascii="Arial" w:hAnsi="Arial" w:cs="Arial"/>
                <w:strike/>
                <w:color w:val="FF0000"/>
                <w:spacing w:val="-2"/>
                <w:sz w:val="20"/>
                <w:szCs w:val="20"/>
              </w:rPr>
            </w:pPr>
            <w:r w:rsidRPr="00FB4103">
              <w:rPr>
                <w:rFonts w:ascii="Arial" w:hAnsi="Arial" w:cs="Arial"/>
                <w:b/>
                <w:bCs/>
                <w:strike/>
                <w:color w:val="FF0000"/>
                <w:spacing w:val="-2"/>
                <w:sz w:val="20"/>
                <w:szCs w:val="20"/>
              </w:rPr>
              <w:t>Art. 34 §  5.</w:t>
            </w:r>
            <w:r w:rsidRPr="00FB4103">
              <w:rPr>
                <w:rFonts w:ascii="Arial" w:hAnsi="Arial" w:cs="Arial"/>
                <w:strike/>
                <w:color w:val="FF0000"/>
                <w:spacing w:val="-2"/>
                <w:sz w:val="20"/>
                <w:szCs w:val="20"/>
              </w:rPr>
              <w:t xml:space="preserve">  Jeżeli sprawa wyłączona po otwarciu przewodu sądowego podlega rozpoznaniu przez sąd, który dokonał wyłączenia, można prowadzić ją w dalszym ciągu w tym samym składzie, chyba że wskutek wyłączenia zaistniała okoliczność określona w art. 41 § 1.</w:t>
            </w:r>
          </w:p>
          <w:p w14:paraId="3F290F88" w14:textId="7BFC9D63" w:rsidR="00B93182" w:rsidRPr="00D128EF" w:rsidRDefault="00B93182" w:rsidP="00F66CAB">
            <w:pPr>
              <w:ind w:firstLine="0"/>
              <w:jc w:val="left"/>
              <w:rPr>
                <w:rFonts w:ascii="Arial" w:hAnsi="Arial" w:cs="Arial"/>
                <w:spacing w:val="-2"/>
                <w:sz w:val="20"/>
                <w:szCs w:val="20"/>
              </w:rPr>
            </w:pPr>
            <w:r w:rsidRPr="00FB4103">
              <w:rPr>
                <w:rFonts w:ascii="Arial" w:hAnsi="Arial" w:cs="Arial"/>
                <w:strike/>
                <w:color w:val="FF0000"/>
                <w:spacing w:val="-2"/>
                <w:sz w:val="20"/>
                <w:szCs w:val="20"/>
              </w:rPr>
              <w:t>§  6.  Na postanowienie o wyłączeniu sprawy do odrębnego rozpoznania wydane po otwarciu przewodu sądowego przysługuje zażalenie prokuratorowi oraz stronie, której sprawę do odrębnego rozpoznania wyłączono.</w:t>
            </w:r>
          </w:p>
        </w:tc>
      </w:tr>
      <w:tr w:rsidR="00B93182" w:rsidRPr="00D128EF" w14:paraId="310A4EFB" w14:textId="6A791F5A" w:rsidTr="00522E6D">
        <w:tc>
          <w:tcPr>
            <w:tcW w:w="14029" w:type="dxa"/>
          </w:tcPr>
          <w:p w14:paraId="6E837493" w14:textId="77777777" w:rsidR="00B93182" w:rsidRPr="00D128EF" w:rsidRDefault="00B93182" w:rsidP="00F66CAB">
            <w:pPr>
              <w:ind w:firstLine="0"/>
              <w:jc w:val="left"/>
              <w:rPr>
                <w:rFonts w:ascii="Arial" w:hAnsi="Arial" w:cs="Arial"/>
                <w:bCs/>
                <w:color w:val="000000"/>
                <w:spacing w:val="-2"/>
                <w:sz w:val="20"/>
                <w:szCs w:val="20"/>
              </w:rPr>
            </w:pPr>
            <w:r w:rsidRPr="00D128EF">
              <w:rPr>
                <w:rFonts w:ascii="Arial" w:hAnsi="Arial" w:cs="Arial"/>
                <w:b/>
                <w:color w:val="000000"/>
                <w:spacing w:val="-2"/>
                <w:sz w:val="20"/>
                <w:szCs w:val="20"/>
              </w:rPr>
              <w:t xml:space="preserve">Art. 37 § 1. </w:t>
            </w:r>
            <w:r w:rsidRPr="00D128EF">
              <w:rPr>
                <w:rFonts w:ascii="Arial" w:hAnsi="Arial" w:cs="Arial"/>
                <w:bCs/>
                <w:color w:val="000000"/>
                <w:spacing w:val="-2"/>
                <w:sz w:val="20"/>
                <w:szCs w:val="20"/>
              </w:rPr>
              <w:t xml:space="preserve">Sąd Najwyższy może z inicjatywy właściwego sądu </w:t>
            </w:r>
            <w:r w:rsidRPr="00D128EF">
              <w:rPr>
                <w:rFonts w:ascii="Arial" w:hAnsi="Arial" w:cs="Arial"/>
                <w:bCs/>
                <w:strike/>
                <w:color w:val="FF0000"/>
                <w:spacing w:val="-2"/>
                <w:sz w:val="20"/>
                <w:szCs w:val="20"/>
              </w:rPr>
              <w:t>lub na wniosek prokuratora</w:t>
            </w:r>
            <w:r w:rsidRPr="00D128EF">
              <w:rPr>
                <w:rFonts w:ascii="Arial" w:hAnsi="Arial" w:cs="Arial"/>
                <w:b/>
                <w:color w:val="FF0000"/>
                <w:spacing w:val="-2"/>
                <w:sz w:val="20"/>
                <w:szCs w:val="20"/>
              </w:rPr>
              <w:t xml:space="preserve"> </w:t>
            </w:r>
            <w:r w:rsidRPr="00D128EF">
              <w:rPr>
                <w:rFonts w:ascii="Arial" w:hAnsi="Arial" w:cs="Arial"/>
                <w:bCs/>
                <w:color w:val="000000"/>
                <w:spacing w:val="-2"/>
                <w:sz w:val="20"/>
                <w:szCs w:val="20"/>
              </w:rPr>
              <w:t>przekazać sprawę do rozpoznania innemu sądowi równorzędnemu, jeżeli wymaga tego dobro wymiaru sprawiedliwości.</w:t>
            </w:r>
          </w:p>
          <w:p w14:paraId="407B3DE9" w14:textId="2F62B4F6" w:rsidR="00B93182" w:rsidRPr="00D128EF" w:rsidRDefault="00B93182" w:rsidP="00F66CAB">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 2. Właściwy sąd przekazuje wniosek prokuratora, o którym mowa w § 1, wraz z aktami sprawy, w terminie 14 dni od dnia jego otrzymania do rozpoznania Sądowi Najwyższemu, przedstawiając własne stanowisko.</w:t>
            </w:r>
          </w:p>
        </w:tc>
      </w:tr>
      <w:tr w:rsidR="00B93182" w:rsidRPr="00D128EF" w14:paraId="12A1CF8B" w14:textId="02F168C1" w:rsidTr="00522E6D">
        <w:tc>
          <w:tcPr>
            <w:tcW w:w="14029" w:type="dxa"/>
          </w:tcPr>
          <w:p w14:paraId="7384C022" w14:textId="0F99A481"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55 </w:t>
            </w:r>
            <w:r w:rsidRPr="00D128EF">
              <w:rPr>
                <w:rFonts w:ascii="Arial" w:hAnsi="Arial" w:cs="Arial"/>
                <w:b/>
                <w:color w:val="000000"/>
                <w:spacing w:val="-2"/>
                <w:sz w:val="20"/>
                <w:szCs w:val="20"/>
              </w:rPr>
              <w:t>§ 1.</w:t>
            </w:r>
            <w:r w:rsidRPr="00D128EF">
              <w:rPr>
                <w:rFonts w:ascii="Arial" w:hAnsi="Arial" w:cs="Arial"/>
                <w:bCs/>
                <w:color w:val="000000"/>
                <w:spacing w:val="-2"/>
                <w:sz w:val="20"/>
                <w:szCs w:val="20"/>
              </w:rPr>
              <w:t xml:space="preserve"> Pokrzywdzony, o którym mowa w art. 330 § 2 </w:t>
            </w:r>
            <w:r w:rsidRPr="00D128EF">
              <w:rPr>
                <w:rFonts w:ascii="Arial" w:hAnsi="Arial" w:cs="Arial"/>
                <w:bCs/>
                <w:strike/>
                <w:color w:val="FF0000"/>
                <w:spacing w:val="-2"/>
                <w:sz w:val="20"/>
                <w:szCs w:val="20"/>
              </w:rPr>
              <w:t>zdanie trzecie</w:t>
            </w:r>
            <w:r w:rsidRPr="00D128EF">
              <w:rPr>
                <w:rFonts w:ascii="Arial" w:hAnsi="Arial" w:cs="Arial"/>
                <w:bCs/>
                <w:color w:val="000000"/>
                <w:spacing w:val="-2"/>
                <w:sz w:val="20"/>
                <w:szCs w:val="20"/>
              </w:rPr>
              <w:t>, w terminie miesiąca od doręczenia mu zawiadomienia o postanowieniu prokuratora nadrzędnego o utrzymaniu w mocy zaskarżonego postanowienia, może wnieść akt oskarżenia do sądu, dołączając po jednym odpisie dla każdego oskarżonego oraz dla prokuratora. Przepis art. 488 § 2 stosuje się odpowiednio. Przepisów art. 339 § 3 pkt 3a i art. 396a nie stosuje się.</w:t>
            </w:r>
          </w:p>
        </w:tc>
      </w:tr>
      <w:tr w:rsidR="00B93182" w:rsidRPr="00D128EF" w14:paraId="1A9A7003" w14:textId="77777777" w:rsidTr="00522E6D">
        <w:tc>
          <w:tcPr>
            <w:tcW w:w="14029" w:type="dxa"/>
          </w:tcPr>
          <w:p w14:paraId="135A4DEF" w14:textId="30E6A9A9"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55 </w:t>
            </w:r>
            <w:r w:rsidRPr="00D128EF">
              <w:rPr>
                <w:rFonts w:ascii="Arial" w:hAnsi="Arial" w:cs="Arial"/>
                <w:b/>
                <w:color w:val="000000"/>
                <w:spacing w:val="-2"/>
                <w:sz w:val="20"/>
                <w:szCs w:val="20"/>
              </w:rPr>
              <w:t>§ 2.</w:t>
            </w:r>
            <w:r w:rsidRPr="00D128EF">
              <w:rPr>
                <w:rFonts w:ascii="Arial" w:hAnsi="Arial" w:cs="Arial"/>
                <w:bCs/>
                <w:color w:val="000000"/>
                <w:spacing w:val="-2"/>
                <w:sz w:val="20"/>
                <w:szCs w:val="20"/>
              </w:rPr>
              <w:t xml:space="preserve"> </w:t>
            </w:r>
            <w:r w:rsidRPr="00D128EF">
              <w:rPr>
                <w:rFonts w:ascii="Arial" w:hAnsi="Arial" w:cs="Arial"/>
                <w:bCs/>
                <w:spacing w:val="-2"/>
                <w:sz w:val="20"/>
                <w:szCs w:val="20"/>
              </w:rPr>
              <w:t xml:space="preserve">Akt oskarżenia wniesiony przez pokrzywdzonego powinien być sporządzony i podpisany przez adwokata, radcę prawnego albo radcę Prokuratorii Generalnej Rzeczypospolitej Polskiej, z zachowaniem warunków określonych w </w:t>
            </w:r>
            <w:r w:rsidRPr="00D128EF">
              <w:rPr>
                <w:rFonts w:ascii="Arial" w:hAnsi="Arial" w:cs="Arial"/>
                <w:bCs/>
                <w:strike/>
                <w:color w:val="FF0000"/>
                <w:spacing w:val="-2"/>
                <w:sz w:val="20"/>
                <w:szCs w:val="20"/>
              </w:rPr>
              <w:t>§ 2b</w:t>
            </w:r>
            <w:r w:rsidRPr="00D128EF">
              <w:rPr>
                <w:rFonts w:ascii="Arial" w:hAnsi="Arial" w:cs="Arial"/>
                <w:bCs/>
                <w:spacing w:val="-2"/>
                <w:sz w:val="20"/>
                <w:szCs w:val="20"/>
              </w:rPr>
              <w:t>, art. 332 i art. 333 § 1.</w:t>
            </w:r>
          </w:p>
        </w:tc>
      </w:tr>
      <w:tr w:rsidR="00B93182" w:rsidRPr="00D128EF" w14:paraId="157672FA" w14:textId="77777777" w:rsidTr="00522E6D">
        <w:tc>
          <w:tcPr>
            <w:tcW w:w="14029" w:type="dxa"/>
          </w:tcPr>
          <w:p w14:paraId="3D91D067" w14:textId="6DEE963E" w:rsidR="00B93182" w:rsidRPr="00D128EF" w:rsidRDefault="00B93182" w:rsidP="00F66CAB">
            <w:pPr>
              <w:ind w:firstLine="0"/>
              <w:jc w:val="left"/>
              <w:rPr>
                <w:rFonts w:ascii="Arial" w:hAnsi="Arial" w:cs="Arial"/>
                <w:b/>
                <w:strike/>
                <w:spacing w:val="-2"/>
                <w:sz w:val="20"/>
                <w:szCs w:val="20"/>
              </w:rPr>
            </w:pPr>
            <w:r w:rsidRPr="00D128EF">
              <w:rPr>
                <w:rFonts w:ascii="Arial" w:hAnsi="Arial" w:cs="Arial"/>
                <w:b/>
                <w:strike/>
                <w:color w:val="002060"/>
                <w:spacing w:val="-2"/>
                <w:sz w:val="20"/>
                <w:szCs w:val="20"/>
              </w:rPr>
              <w:lastRenderedPageBreak/>
              <w:t>Art. 55 §  2b.</w:t>
            </w:r>
            <w:r w:rsidRPr="00D128EF">
              <w:rPr>
                <w:rFonts w:ascii="Arial" w:hAnsi="Arial" w:cs="Arial"/>
                <w:bCs/>
                <w:strike/>
                <w:color w:val="002060"/>
                <w:spacing w:val="-2"/>
                <w:sz w:val="20"/>
                <w:szCs w:val="20"/>
              </w:rPr>
              <w:t> Do aktu oskarżenia załącza się zawiadomienie, o którym mowa w § 1, wraz z odpisem postanowienia prokuratora nadrzędnego wydanego na podstawie art. 330 § 2.</w:t>
            </w:r>
          </w:p>
        </w:tc>
      </w:tr>
      <w:tr w:rsidR="00B93182" w:rsidRPr="00D128EF" w14:paraId="727538BA" w14:textId="77777777" w:rsidTr="00522E6D">
        <w:tc>
          <w:tcPr>
            <w:tcW w:w="14029" w:type="dxa"/>
          </w:tcPr>
          <w:p w14:paraId="2359CE2B" w14:textId="1007F3E2" w:rsidR="00B93182" w:rsidRPr="00D128EF" w:rsidRDefault="00B93182" w:rsidP="00F66CAB">
            <w:pPr>
              <w:ind w:firstLine="0"/>
              <w:jc w:val="left"/>
              <w:rPr>
                <w:rFonts w:ascii="Arial" w:hAnsi="Arial" w:cs="Arial"/>
                <w:spacing w:val="-2"/>
                <w:sz w:val="20"/>
                <w:szCs w:val="20"/>
              </w:rPr>
            </w:pPr>
            <w:r w:rsidRPr="008923A3">
              <w:rPr>
                <w:rFonts w:ascii="Arial" w:hAnsi="Arial" w:cs="Arial"/>
                <w:b/>
                <w:bCs/>
                <w:spacing w:val="-2"/>
                <w:sz w:val="20"/>
                <w:szCs w:val="20"/>
              </w:rPr>
              <w:t>Art. 55 § 4.</w:t>
            </w:r>
            <w:r w:rsidRPr="00D128EF">
              <w:rPr>
                <w:rFonts w:ascii="Arial" w:hAnsi="Arial" w:cs="Arial"/>
                <w:spacing w:val="-2"/>
                <w:sz w:val="20"/>
                <w:szCs w:val="20"/>
              </w:rPr>
              <w:t xml:space="preserve"> </w:t>
            </w:r>
            <w:r w:rsidRPr="00D128EF">
              <w:rPr>
                <w:rFonts w:ascii="Arial" w:hAnsi="Arial" w:cs="Arial"/>
                <w:bCs/>
                <w:spacing w:val="-2"/>
                <w:sz w:val="20"/>
                <w:szCs w:val="20"/>
              </w:rPr>
              <w:t xml:space="preserve">Do sprawy wszczętej na podstawie aktu oskarżenia wniesionego przez oskarżyciela posiłkowego może w każdym czasie wstąpić prokurator, </w:t>
            </w:r>
            <w:r w:rsidRPr="00D128EF">
              <w:rPr>
                <w:rFonts w:ascii="Arial" w:hAnsi="Arial" w:cs="Arial"/>
                <w:bCs/>
                <w:strike/>
                <w:color w:val="FF0000"/>
                <w:spacing w:val="-2"/>
                <w:sz w:val="20"/>
                <w:szCs w:val="20"/>
              </w:rPr>
              <w:t>stając się oskarżycielem publicznym. Postępowanie toczy się wówczas z oskarżenia publicznego, a pokrzywdzony, który wniósł akt oskarżenia, korzysta z praw oskarżyciela posiłkowego, o którym mowa w art. 54. Cofnięcie aktu oskarżenia przez oskarżyciela publicznego jest dopuszczalne jedynie za zgodą pokrzywdzonego, który wniósł akt oskarżenia, a w razie przyłączenia się do postępowania pokrzywdzonego, o którym mowa w § 3 - również tego pokrzywdzonego.</w:t>
            </w:r>
            <w:r w:rsidRPr="00D128EF">
              <w:rPr>
                <w:rFonts w:ascii="Arial" w:hAnsi="Arial" w:cs="Arial"/>
                <w:color w:val="FF0000"/>
                <w:spacing w:val="-2"/>
                <w:sz w:val="20"/>
                <w:szCs w:val="20"/>
              </w:rPr>
              <w:t xml:space="preserve"> </w:t>
            </w:r>
            <w:r w:rsidRPr="00D128EF">
              <w:rPr>
                <w:rFonts w:ascii="Arial" w:hAnsi="Arial" w:cs="Arial"/>
                <w:color w:val="002060"/>
                <w:spacing w:val="-2"/>
                <w:sz w:val="20"/>
                <w:szCs w:val="20"/>
              </w:rPr>
              <w:t>Korzysta on z praw strony</w:t>
            </w:r>
            <w:r w:rsidR="00522E6D" w:rsidRPr="00D128EF">
              <w:rPr>
                <w:rFonts w:ascii="Arial" w:hAnsi="Arial" w:cs="Arial"/>
                <w:color w:val="002060"/>
                <w:spacing w:val="-2"/>
                <w:sz w:val="20"/>
                <w:szCs w:val="20"/>
              </w:rPr>
              <w:t>.</w:t>
            </w:r>
          </w:p>
        </w:tc>
      </w:tr>
      <w:tr w:rsidR="00B93182" w:rsidRPr="00D128EF" w14:paraId="755356ED" w14:textId="77777777" w:rsidTr="00522E6D">
        <w:tc>
          <w:tcPr>
            <w:tcW w:w="14029" w:type="dxa"/>
          </w:tcPr>
          <w:p w14:paraId="4FA7345C" w14:textId="36B63DFE" w:rsidR="00B93182" w:rsidRPr="00D128EF" w:rsidRDefault="00B93182" w:rsidP="00F66CAB">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 55 § 5.</w:t>
            </w:r>
            <w:r w:rsidR="00522E6D" w:rsidRPr="00D128EF">
              <w:rPr>
                <w:rFonts w:ascii="Arial" w:hAnsi="Arial" w:cs="Arial"/>
                <w:strike/>
                <w:color w:val="FF0000"/>
                <w:spacing w:val="-2"/>
                <w:sz w:val="20"/>
                <w:szCs w:val="20"/>
              </w:rPr>
              <w:t xml:space="preserve"> Prokurator, który nie wstąpił do sprawy jako oskarżyciel publiczny, może do niej wstąpić jako uczestnik postępowania, jeżeli uzna, że wymaga tego ochrona praworządności lub interes społeczny; w takim wypadku prokuratorowi przysługują prawa strony, przy czym stosuje się do niego odpowiednio przepisy art. 48, art. 425 § 3 zdanie drugie, art. 425 § 4, art. 427 § 2 i art. 431 § 2. Ilekroć przepisy określają porządek zadawania pytań, zabierania głosu lub wykonywania innych praw, prokurator korzysta z tych praw bezpośrednio po oskarżycielu.</w:t>
            </w:r>
          </w:p>
        </w:tc>
      </w:tr>
      <w:tr w:rsidR="00B93182" w:rsidRPr="00D128EF" w14:paraId="5AE5B69D" w14:textId="77777777" w:rsidTr="00522E6D">
        <w:tc>
          <w:tcPr>
            <w:tcW w:w="14029" w:type="dxa"/>
          </w:tcPr>
          <w:p w14:paraId="64EAA1A6" w14:textId="58C51803" w:rsidR="00B93182" w:rsidRPr="00D128EF" w:rsidRDefault="008923A3" w:rsidP="00F66CAB">
            <w:pPr>
              <w:ind w:firstLine="0"/>
              <w:jc w:val="left"/>
              <w:rPr>
                <w:rFonts w:ascii="Arial" w:hAnsi="Arial" w:cs="Arial"/>
                <w:spacing w:val="-2"/>
                <w:sz w:val="20"/>
                <w:szCs w:val="20"/>
              </w:rPr>
            </w:pPr>
            <w:r w:rsidRPr="00D128EF">
              <w:rPr>
                <w:rFonts w:ascii="Arial" w:hAnsi="Arial" w:cs="Arial"/>
                <w:b/>
                <w:bCs/>
                <w:color w:val="000000"/>
                <w:spacing w:val="-2"/>
                <w:sz w:val="20"/>
                <w:szCs w:val="20"/>
              </w:rPr>
              <w:t xml:space="preserve">Art. </w:t>
            </w:r>
            <w:r>
              <w:rPr>
                <w:rFonts w:ascii="Arial" w:hAnsi="Arial" w:cs="Arial"/>
                <w:b/>
                <w:bCs/>
                <w:color w:val="000000"/>
                <w:spacing w:val="-2"/>
                <w:sz w:val="20"/>
                <w:szCs w:val="20"/>
              </w:rPr>
              <w:t>60</w:t>
            </w:r>
            <w:r w:rsidRPr="00D128EF">
              <w:rPr>
                <w:rFonts w:ascii="Arial" w:hAnsi="Arial" w:cs="Arial"/>
                <w:b/>
                <w:bCs/>
                <w:color w:val="000000"/>
                <w:spacing w:val="-2"/>
                <w:sz w:val="20"/>
                <w:szCs w:val="20"/>
              </w:rPr>
              <w:t xml:space="preserve"> § 1. </w:t>
            </w:r>
            <w:r w:rsidR="00B93182" w:rsidRPr="00D128EF">
              <w:rPr>
                <w:rFonts w:ascii="Arial" w:hAnsi="Arial" w:cs="Arial"/>
                <w:color w:val="000000"/>
                <w:spacing w:val="-2"/>
                <w:sz w:val="20"/>
                <w:szCs w:val="20"/>
              </w:rPr>
              <w:t xml:space="preserve">W sprawach o przestępstwa ścigane z oskarżenia prywatnego prokurator wszczyna postępowanie </w:t>
            </w:r>
            <w:r w:rsidR="00B93182" w:rsidRPr="00D128EF">
              <w:rPr>
                <w:rFonts w:ascii="Arial" w:hAnsi="Arial" w:cs="Arial"/>
                <w:strike/>
                <w:color w:val="FF0000"/>
                <w:spacing w:val="-2"/>
                <w:sz w:val="20"/>
                <w:szCs w:val="20"/>
              </w:rPr>
              <w:t>albo</w:t>
            </w:r>
            <w:r w:rsidR="00B93182" w:rsidRPr="00D128EF">
              <w:rPr>
                <w:rFonts w:ascii="Arial" w:hAnsi="Arial" w:cs="Arial"/>
                <w:color w:val="FF0000"/>
                <w:spacing w:val="-2"/>
                <w:sz w:val="20"/>
                <w:szCs w:val="20"/>
              </w:rPr>
              <w:t xml:space="preserve"> </w:t>
            </w:r>
            <w:r w:rsidR="00B93182" w:rsidRPr="00D128EF">
              <w:rPr>
                <w:rFonts w:ascii="Arial" w:hAnsi="Arial" w:cs="Arial"/>
                <w:strike/>
                <w:color w:val="FF0000"/>
                <w:spacing w:val="-2"/>
                <w:sz w:val="20"/>
                <w:szCs w:val="20"/>
              </w:rPr>
              <w:t>jako oskarżyciel publiczny</w:t>
            </w:r>
            <w:r w:rsidR="00B93182" w:rsidRPr="00D128EF">
              <w:rPr>
                <w:rFonts w:ascii="Arial" w:hAnsi="Arial" w:cs="Arial"/>
                <w:color w:val="FF0000"/>
                <w:spacing w:val="-2"/>
                <w:sz w:val="20"/>
                <w:szCs w:val="20"/>
              </w:rPr>
              <w:t xml:space="preserve"> </w:t>
            </w:r>
            <w:r w:rsidR="00B93182" w:rsidRPr="00D128EF">
              <w:rPr>
                <w:rFonts w:ascii="Arial" w:hAnsi="Arial" w:cs="Arial"/>
                <w:color w:val="000000"/>
                <w:spacing w:val="-2"/>
                <w:sz w:val="20"/>
                <w:szCs w:val="20"/>
              </w:rPr>
              <w:t xml:space="preserve">wstępuje do postępowania już wszczętego, jeżeli wymaga tego </w:t>
            </w:r>
            <w:r w:rsidR="00B93182" w:rsidRPr="00D128EF">
              <w:rPr>
                <w:rFonts w:ascii="Arial" w:hAnsi="Arial" w:cs="Arial"/>
                <w:strike/>
                <w:color w:val="FF0000"/>
                <w:spacing w:val="-2"/>
                <w:sz w:val="20"/>
                <w:szCs w:val="20"/>
              </w:rPr>
              <w:t>ochrona praworządności lub</w:t>
            </w:r>
            <w:r w:rsidR="00B93182" w:rsidRPr="00D128EF">
              <w:rPr>
                <w:rFonts w:ascii="Arial" w:hAnsi="Arial" w:cs="Arial"/>
                <w:color w:val="FF0000"/>
                <w:spacing w:val="-2"/>
                <w:sz w:val="20"/>
                <w:szCs w:val="20"/>
              </w:rPr>
              <w:t xml:space="preserve"> </w:t>
            </w:r>
            <w:r w:rsidR="00B93182" w:rsidRPr="00D128EF">
              <w:rPr>
                <w:rFonts w:ascii="Arial" w:hAnsi="Arial" w:cs="Arial"/>
                <w:color w:val="000000"/>
                <w:spacing w:val="-2"/>
                <w:sz w:val="20"/>
                <w:szCs w:val="20"/>
              </w:rPr>
              <w:t>interes społeczny.</w:t>
            </w:r>
          </w:p>
        </w:tc>
      </w:tr>
      <w:tr w:rsidR="00B93182" w:rsidRPr="00D128EF" w14:paraId="0AA13CCA" w14:textId="77777777" w:rsidTr="00522E6D">
        <w:tc>
          <w:tcPr>
            <w:tcW w:w="14029" w:type="dxa"/>
          </w:tcPr>
          <w:p w14:paraId="34828184" w14:textId="1781A408" w:rsidR="00B93182" w:rsidRPr="00D128EF" w:rsidRDefault="00B93182" w:rsidP="00F66CAB">
            <w:pPr>
              <w:ind w:firstLine="0"/>
              <w:jc w:val="left"/>
              <w:rPr>
                <w:rFonts w:ascii="Arial" w:hAnsi="Arial" w:cs="Arial"/>
                <w:strike/>
                <w:color w:val="FF0000"/>
                <w:spacing w:val="-2"/>
                <w:sz w:val="20"/>
                <w:szCs w:val="20"/>
              </w:rPr>
            </w:pPr>
            <w:r w:rsidRPr="008923A3">
              <w:rPr>
                <w:rFonts w:ascii="Arial" w:hAnsi="Arial" w:cs="Arial"/>
                <w:b/>
                <w:bCs/>
                <w:strike/>
                <w:color w:val="FF0000"/>
                <w:spacing w:val="-2"/>
                <w:sz w:val="20"/>
                <w:szCs w:val="20"/>
              </w:rPr>
              <w:t>Art. 60 § 5.</w:t>
            </w:r>
            <w:r w:rsidRPr="00D128EF">
              <w:rPr>
                <w:rFonts w:ascii="Arial" w:hAnsi="Arial" w:cs="Arial"/>
                <w:strike/>
                <w:color w:val="FF0000"/>
                <w:spacing w:val="-2"/>
                <w:sz w:val="20"/>
                <w:szCs w:val="20"/>
              </w:rPr>
              <w:t xml:space="preserve"> Przepis art. 55 § 5 stosuje się odpowiednio.</w:t>
            </w:r>
          </w:p>
        </w:tc>
      </w:tr>
      <w:tr w:rsidR="00B93182" w:rsidRPr="00D128EF" w14:paraId="2289856A" w14:textId="77777777" w:rsidTr="00522E6D">
        <w:tc>
          <w:tcPr>
            <w:tcW w:w="14029" w:type="dxa"/>
          </w:tcPr>
          <w:p w14:paraId="7D4AF40F" w14:textId="1C23D2BC" w:rsidR="00B93182" w:rsidRPr="00D128EF" w:rsidRDefault="00B93182" w:rsidP="00F66CAB">
            <w:pPr>
              <w:ind w:firstLine="0"/>
              <w:jc w:val="left"/>
              <w:rPr>
                <w:rFonts w:ascii="Arial" w:hAnsi="Arial" w:cs="Arial"/>
                <w:color w:val="000000"/>
                <w:spacing w:val="-2"/>
                <w:sz w:val="20"/>
                <w:szCs w:val="20"/>
              </w:rPr>
            </w:pPr>
            <w:r w:rsidRPr="00D128EF">
              <w:rPr>
                <w:rFonts w:ascii="Arial" w:hAnsi="Arial" w:cs="Arial"/>
                <w:b/>
                <w:bCs/>
                <w:color w:val="000000"/>
                <w:spacing w:val="-2"/>
                <w:sz w:val="20"/>
                <w:szCs w:val="20"/>
              </w:rPr>
              <w:t xml:space="preserve">Art. 71 § 1. </w:t>
            </w:r>
            <w:r w:rsidRPr="00D128EF">
              <w:rPr>
                <w:rFonts w:ascii="Arial" w:hAnsi="Arial" w:cs="Arial"/>
                <w:color w:val="000000"/>
                <w:spacing w:val="-2"/>
                <w:sz w:val="20"/>
                <w:szCs w:val="20"/>
              </w:rPr>
              <w:t xml:space="preserve">Za podejrzanego uważa się osobę, co do której </w:t>
            </w:r>
            <w:r w:rsidRPr="00D128EF">
              <w:rPr>
                <w:rFonts w:ascii="Arial" w:hAnsi="Arial" w:cs="Arial"/>
                <w:strike/>
                <w:color w:val="FF0000"/>
                <w:spacing w:val="-2"/>
                <w:sz w:val="20"/>
                <w:szCs w:val="20"/>
              </w:rPr>
              <w:t>wydano postanowienie o przedstawieniu zarzutów albo której bez wydania takiego postanowienia postawiono zarzut w związku z przystąpieniem do przesłuchania w charakterze podejrzanego.</w:t>
            </w:r>
            <w:r w:rsidR="00522E6D" w:rsidRPr="00D128EF">
              <w:rPr>
                <w:rFonts w:ascii="Arial" w:hAnsi="Arial" w:cs="Arial"/>
                <w:strike/>
                <w:color w:val="FF0000"/>
                <w:spacing w:val="-2"/>
                <w:sz w:val="20"/>
                <w:szCs w:val="20"/>
              </w:rPr>
              <w:t xml:space="preserve"> </w:t>
            </w:r>
            <w:r w:rsidRPr="00D128EF">
              <w:rPr>
                <w:rFonts w:ascii="Arial" w:hAnsi="Arial" w:cs="Arial"/>
                <w:color w:val="002060"/>
                <w:spacing w:val="-2"/>
                <w:sz w:val="20"/>
                <w:szCs w:val="20"/>
              </w:rPr>
              <w:t>zebrane dowody dostatecznie uzasadniają podejrzenie popełnienia przez nią przestępstwa i wobec której podjęto czynność procesową ukierunkowaną na jej ściganie</w:t>
            </w:r>
          </w:p>
        </w:tc>
      </w:tr>
      <w:tr w:rsidR="00B93182" w:rsidRPr="00D128EF" w14:paraId="7938E2B4" w14:textId="77777777" w:rsidTr="00522E6D">
        <w:tc>
          <w:tcPr>
            <w:tcW w:w="14029" w:type="dxa"/>
          </w:tcPr>
          <w:p w14:paraId="42661132" w14:textId="482C82B9" w:rsidR="00B93182" w:rsidRPr="00D128EF" w:rsidRDefault="00B93182" w:rsidP="00F66CAB">
            <w:pPr>
              <w:ind w:firstLine="0"/>
              <w:jc w:val="left"/>
              <w:rPr>
                <w:rFonts w:ascii="Arial" w:hAnsi="Arial" w:cs="Arial"/>
                <w:color w:val="000000"/>
                <w:spacing w:val="-2"/>
                <w:sz w:val="20"/>
                <w:szCs w:val="20"/>
              </w:rPr>
            </w:pPr>
            <w:r w:rsidRPr="00D128EF">
              <w:rPr>
                <w:rFonts w:ascii="Arial" w:hAnsi="Arial" w:cs="Arial"/>
                <w:b/>
                <w:bCs/>
                <w:spacing w:val="-2"/>
                <w:sz w:val="20"/>
                <w:szCs w:val="20"/>
              </w:rPr>
              <w:t>Art. 72 § 2.</w:t>
            </w:r>
            <w:r w:rsidRPr="00D128EF">
              <w:rPr>
                <w:rFonts w:ascii="Arial" w:hAnsi="Arial" w:cs="Arial"/>
                <w:spacing w:val="-2"/>
                <w:sz w:val="20"/>
                <w:szCs w:val="20"/>
              </w:rPr>
              <w:t xml:space="preserve"> </w:t>
            </w:r>
            <w:r w:rsidRPr="00D128EF">
              <w:rPr>
                <w:rFonts w:ascii="Arial" w:hAnsi="Arial" w:cs="Arial"/>
                <w:color w:val="000000"/>
                <w:spacing w:val="-2"/>
                <w:sz w:val="20"/>
                <w:szCs w:val="20"/>
              </w:rPr>
              <w:t xml:space="preserve">Tłumacza należy wezwać do czynności z udziałem oskarżonego, o którym mowa w § 1. Na wniosek oskarżonego lub jego obrońcy tłumacza należy wezwać również w celu porozumienia się oskarżonego z obrońcą w związku z czynnością, do udziału w której oskarżony jest uprawniony, </w:t>
            </w:r>
            <w:r w:rsidRPr="00D128EF">
              <w:rPr>
                <w:rFonts w:ascii="Arial" w:hAnsi="Arial" w:cs="Arial"/>
                <w:color w:val="002060"/>
                <w:spacing w:val="-2"/>
                <w:sz w:val="20"/>
                <w:szCs w:val="20"/>
              </w:rPr>
              <w:t>wniesieniem środka zaskarżenia lub wniosku dotyczącego toku postępowania.</w:t>
            </w:r>
          </w:p>
        </w:tc>
      </w:tr>
      <w:tr w:rsidR="00B93182" w:rsidRPr="00D128EF" w14:paraId="1991BF6E" w14:textId="77777777" w:rsidTr="00522E6D">
        <w:tc>
          <w:tcPr>
            <w:tcW w:w="14029" w:type="dxa"/>
          </w:tcPr>
          <w:p w14:paraId="1F45332D" w14:textId="11CB4749" w:rsidR="00B93182" w:rsidRPr="00D128EF" w:rsidRDefault="00522E6D" w:rsidP="00F66CAB">
            <w:pPr>
              <w:ind w:firstLine="0"/>
              <w:jc w:val="left"/>
              <w:rPr>
                <w:rFonts w:ascii="Arial" w:hAnsi="Arial" w:cs="Arial"/>
                <w:b/>
                <w:bCs/>
                <w:color w:val="000000"/>
                <w:spacing w:val="-2"/>
                <w:sz w:val="20"/>
                <w:szCs w:val="20"/>
              </w:rPr>
            </w:pPr>
            <w:r w:rsidRPr="00D128EF">
              <w:rPr>
                <w:rFonts w:ascii="Arial" w:hAnsi="Arial" w:cs="Arial"/>
                <w:b/>
                <w:color w:val="002060"/>
                <w:spacing w:val="-2"/>
                <w:sz w:val="20"/>
                <w:szCs w:val="20"/>
              </w:rPr>
              <w:t xml:space="preserve">Art. 72 </w:t>
            </w:r>
            <w:r w:rsidR="00B93182" w:rsidRPr="00D128EF">
              <w:rPr>
                <w:rFonts w:ascii="Arial" w:hAnsi="Arial" w:cs="Arial"/>
                <w:b/>
                <w:color w:val="002060"/>
                <w:spacing w:val="-2"/>
                <w:sz w:val="20"/>
                <w:szCs w:val="20"/>
              </w:rPr>
              <w:t xml:space="preserve">§ 2a. </w:t>
            </w:r>
            <w:r w:rsidR="00B93182" w:rsidRPr="00D128EF">
              <w:rPr>
                <w:rFonts w:ascii="Arial" w:hAnsi="Arial" w:cs="Arial"/>
                <w:color w:val="002060"/>
                <w:spacing w:val="-2"/>
                <w:sz w:val="20"/>
                <w:szCs w:val="20"/>
              </w:rPr>
              <w:t>Przepisy § 1 i 2 stosuje się odpowiednio do oskarżonego, który jest głuchy lub niemy.</w:t>
            </w:r>
          </w:p>
        </w:tc>
      </w:tr>
      <w:tr w:rsidR="00B93182" w:rsidRPr="00D128EF" w14:paraId="63CC3AD0" w14:textId="77777777" w:rsidTr="00522E6D">
        <w:tc>
          <w:tcPr>
            <w:tcW w:w="14029" w:type="dxa"/>
          </w:tcPr>
          <w:p w14:paraId="4428B05C" w14:textId="1D110C3A" w:rsidR="00B93182" w:rsidRPr="00D128EF" w:rsidRDefault="00522E6D" w:rsidP="00F66CAB">
            <w:pPr>
              <w:ind w:firstLine="0"/>
              <w:jc w:val="left"/>
              <w:rPr>
                <w:rFonts w:ascii="Arial" w:hAnsi="Arial" w:cs="Arial"/>
                <w:b/>
                <w:bCs/>
                <w:color w:val="000000"/>
                <w:spacing w:val="-2"/>
                <w:sz w:val="20"/>
                <w:szCs w:val="20"/>
              </w:rPr>
            </w:pPr>
            <w:r w:rsidRPr="00D128EF">
              <w:rPr>
                <w:rFonts w:ascii="Arial" w:hAnsi="Arial" w:cs="Arial"/>
                <w:b/>
                <w:color w:val="002060"/>
                <w:spacing w:val="-2"/>
                <w:sz w:val="20"/>
                <w:szCs w:val="20"/>
              </w:rPr>
              <w:t xml:space="preserve">Art. 72 </w:t>
            </w:r>
            <w:r w:rsidR="00B93182" w:rsidRPr="00D128EF">
              <w:rPr>
                <w:rFonts w:ascii="Arial" w:hAnsi="Arial" w:cs="Arial"/>
                <w:b/>
                <w:color w:val="002060"/>
                <w:spacing w:val="-2"/>
                <w:sz w:val="20"/>
                <w:szCs w:val="20"/>
              </w:rPr>
              <w:t xml:space="preserve">§ 4. </w:t>
            </w:r>
            <w:r w:rsidR="00B93182" w:rsidRPr="00D128EF">
              <w:rPr>
                <w:rFonts w:ascii="Arial" w:hAnsi="Arial" w:cs="Arial"/>
                <w:color w:val="002060"/>
                <w:spacing w:val="-2"/>
                <w:sz w:val="20"/>
                <w:szCs w:val="20"/>
              </w:rPr>
              <w:t>Na wniosek oskarżonego, o którym mowa w § 1 lub jego obrońcy należy sporządzić tłumaczenie innego dokumentu, niż wskazany w § 3, lub jego części, jeśli ma on istotne znaczenie dla realizacji prawa do obrony. W uzasadnionym wypadku może zostać zapewnione tłumaczenie ustne dokumentów lub ustne ich streszczenie, jeśli nie spowoduje to uszczerbku dla realizacji prawa do obrony.</w:t>
            </w:r>
          </w:p>
        </w:tc>
      </w:tr>
      <w:tr w:rsidR="00B93182" w:rsidRPr="00D128EF" w14:paraId="4FE73E8A" w14:textId="77777777" w:rsidTr="00522E6D">
        <w:tc>
          <w:tcPr>
            <w:tcW w:w="14029" w:type="dxa"/>
          </w:tcPr>
          <w:p w14:paraId="55EECFD4" w14:textId="7D0E74BB" w:rsidR="00B93182" w:rsidRPr="00D128EF" w:rsidRDefault="00B93182" w:rsidP="00F66CAB">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xml:space="preserve">Art. 73 §  2. </w:t>
            </w:r>
            <w:r w:rsidR="00522E6D" w:rsidRPr="00D128EF">
              <w:rPr>
                <w:rFonts w:ascii="Arial" w:hAnsi="Arial" w:cs="Arial"/>
                <w:strike/>
                <w:color w:val="FF0000"/>
                <w:spacing w:val="-2"/>
                <w:sz w:val="20"/>
                <w:szCs w:val="20"/>
              </w:rPr>
              <w:t xml:space="preserve"> </w:t>
            </w:r>
            <w:r w:rsidRPr="00D128EF">
              <w:rPr>
                <w:rFonts w:ascii="Arial" w:hAnsi="Arial" w:cs="Arial"/>
                <w:strike/>
                <w:color w:val="FF0000"/>
                <w:spacing w:val="-2"/>
                <w:sz w:val="20"/>
                <w:szCs w:val="20"/>
              </w:rPr>
              <w:t>W postępowaniu przygotowawczym prokurator, udzielając zezwolenia na porozumiewanie się, może zastrzec w szczególnie uzasadnionych wypadkach, jeżeli wymaga tego dobro postępowania przygotowawczego, że będzie przy tym obecny sam lub osoba przez niego upoważniona.</w:t>
            </w:r>
          </w:p>
          <w:p w14:paraId="45A7CFC2" w14:textId="792203B7" w:rsidR="00B93182" w:rsidRPr="00D128EF" w:rsidRDefault="00B93182" w:rsidP="00F66CAB">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xml:space="preserve">§  3. </w:t>
            </w:r>
            <w:r w:rsidR="00522E6D" w:rsidRPr="00D128EF">
              <w:rPr>
                <w:rFonts w:ascii="Arial" w:hAnsi="Arial" w:cs="Arial"/>
                <w:strike/>
                <w:color w:val="FF0000"/>
                <w:spacing w:val="-2"/>
                <w:sz w:val="20"/>
                <w:szCs w:val="20"/>
              </w:rPr>
              <w:t xml:space="preserve"> </w:t>
            </w:r>
            <w:r w:rsidRPr="00D128EF">
              <w:rPr>
                <w:rFonts w:ascii="Arial" w:hAnsi="Arial" w:cs="Arial"/>
                <w:strike/>
                <w:color w:val="FF0000"/>
                <w:spacing w:val="-2"/>
                <w:sz w:val="20"/>
                <w:szCs w:val="20"/>
              </w:rPr>
              <w:t>Jeżeli wymaga tego dobro postępowania przygotowawczego, prokurator, w szczególnie uzasadnionych wypadkach, może również zastrzec kontrolę korespondencji podejrzanego z obrońcą.</w:t>
            </w:r>
          </w:p>
          <w:p w14:paraId="17A49E85" w14:textId="6D59874A" w:rsidR="00B93182" w:rsidRPr="00D128EF" w:rsidRDefault="00B93182" w:rsidP="00F66CAB">
            <w:pPr>
              <w:ind w:firstLine="0"/>
              <w:jc w:val="left"/>
              <w:rPr>
                <w:rFonts w:ascii="Arial" w:hAnsi="Arial" w:cs="Arial"/>
                <w:strike/>
                <w:color w:val="002060"/>
                <w:spacing w:val="-2"/>
                <w:sz w:val="20"/>
                <w:szCs w:val="20"/>
              </w:rPr>
            </w:pPr>
            <w:r w:rsidRPr="00D128EF">
              <w:rPr>
                <w:rFonts w:ascii="Arial" w:hAnsi="Arial" w:cs="Arial"/>
                <w:strike/>
                <w:color w:val="FF0000"/>
                <w:spacing w:val="-2"/>
                <w:sz w:val="20"/>
                <w:szCs w:val="20"/>
              </w:rPr>
              <w:t xml:space="preserve">§  4. </w:t>
            </w:r>
            <w:r w:rsidR="00522E6D" w:rsidRPr="00D128EF">
              <w:rPr>
                <w:rFonts w:ascii="Arial" w:hAnsi="Arial" w:cs="Arial"/>
                <w:strike/>
                <w:color w:val="FF0000"/>
                <w:spacing w:val="-2"/>
                <w:sz w:val="20"/>
                <w:szCs w:val="20"/>
              </w:rPr>
              <w:t xml:space="preserve"> </w:t>
            </w:r>
            <w:r w:rsidRPr="00D128EF">
              <w:rPr>
                <w:rFonts w:ascii="Arial" w:hAnsi="Arial" w:cs="Arial"/>
                <w:strike/>
                <w:color w:val="FF0000"/>
                <w:spacing w:val="-2"/>
                <w:sz w:val="20"/>
                <w:szCs w:val="20"/>
              </w:rPr>
              <w:t>Zastrzeżenia, o których mowa w § 2 i 3, nie mogą być utrzymywane ani dokonane po upływie 14 dni od dnia tymczasowego aresztowania podejrzanego.</w:t>
            </w:r>
          </w:p>
        </w:tc>
      </w:tr>
      <w:tr w:rsidR="00B93182" w:rsidRPr="00D128EF" w14:paraId="1B6CB2F0" w14:textId="77777777" w:rsidTr="00522E6D">
        <w:tc>
          <w:tcPr>
            <w:tcW w:w="14029" w:type="dxa"/>
          </w:tcPr>
          <w:p w14:paraId="23637C8C" w14:textId="264849B0" w:rsidR="00B93182" w:rsidRPr="00D128EF" w:rsidRDefault="00B93182" w:rsidP="00F66CAB">
            <w:pPr>
              <w:ind w:firstLine="0"/>
              <w:jc w:val="left"/>
              <w:rPr>
                <w:rFonts w:ascii="Arial" w:hAnsi="Arial" w:cs="Arial"/>
                <w:spacing w:val="-2"/>
                <w:sz w:val="20"/>
                <w:szCs w:val="20"/>
              </w:rPr>
            </w:pPr>
            <w:r w:rsidRPr="00D128EF">
              <w:rPr>
                <w:rFonts w:ascii="Arial" w:hAnsi="Arial" w:cs="Arial"/>
                <w:b/>
                <w:bCs/>
                <w:spacing w:val="-2"/>
                <w:sz w:val="20"/>
                <w:szCs w:val="20"/>
              </w:rPr>
              <w:t>Art. 74 § 3.</w:t>
            </w:r>
            <w:r w:rsidRPr="00D128EF">
              <w:rPr>
                <w:rFonts w:ascii="Arial" w:hAnsi="Arial" w:cs="Arial"/>
                <w:spacing w:val="-2"/>
                <w:sz w:val="20"/>
                <w:szCs w:val="20"/>
              </w:rPr>
              <w:t xml:space="preserve">  W stosunku do osoby podejrzanej można dokonać badań lub czynności, o których mowa w § 2 pkt 1, a także, przy zachowaniu wymagań określonych w § 2 pkt 2 lub 3, pobrać krew, włosy, wymaz ze śluzówki policzków lub inne wydzieliny organizmu.</w:t>
            </w:r>
          </w:p>
          <w:p w14:paraId="2B1B6C18" w14:textId="4FA0B258" w:rsidR="00B93182" w:rsidRPr="00D128EF" w:rsidRDefault="00522E6D" w:rsidP="00F66CAB">
            <w:pPr>
              <w:ind w:firstLine="0"/>
              <w:jc w:val="left"/>
              <w:rPr>
                <w:rFonts w:ascii="Arial" w:hAnsi="Arial" w:cs="Arial"/>
                <w:spacing w:val="-2"/>
                <w:sz w:val="20"/>
                <w:szCs w:val="20"/>
              </w:rPr>
            </w:pPr>
            <w:r w:rsidRPr="00D128EF">
              <w:rPr>
                <w:rFonts w:ascii="Arial" w:hAnsi="Arial" w:cs="Arial"/>
                <w:b/>
                <w:bCs/>
                <w:spacing w:val="-2"/>
                <w:sz w:val="20"/>
                <w:szCs w:val="20"/>
              </w:rPr>
              <w:t xml:space="preserve">Art. 74 </w:t>
            </w:r>
            <w:r w:rsidR="00B93182" w:rsidRPr="00D128EF">
              <w:rPr>
                <w:rFonts w:ascii="Arial" w:hAnsi="Arial" w:cs="Arial"/>
                <w:b/>
                <w:bCs/>
                <w:spacing w:val="-2"/>
                <w:sz w:val="20"/>
                <w:szCs w:val="20"/>
              </w:rPr>
              <w:t>§ 3a.</w:t>
            </w:r>
            <w:r w:rsidR="00B93182" w:rsidRPr="00D128EF">
              <w:rPr>
                <w:rFonts w:ascii="Arial" w:hAnsi="Arial" w:cs="Arial"/>
                <w:spacing w:val="-2"/>
                <w:sz w:val="20"/>
                <w:szCs w:val="20"/>
              </w:rPr>
              <w:t xml:space="preserve"> Oskarżonego lub osobę podejrzaną wzywa się do poddania się obowiązkom wynikającym z § 2 i 3. W razie odmowy poddania się tym obowiązkom oskarżonego lub osobę podejrzaną można zatrzymać i przymusowo doprowadzić, a także stosować wobec nich siłę fizyczną lub środki techniczne służące obezwładnieniu, w zakresie niezbędnym do wykonania danej czynności.</w:t>
            </w:r>
          </w:p>
          <w:p w14:paraId="5BEAD7E0" w14:textId="12DF38AE" w:rsidR="00B93182" w:rsidRPr="00D128EF" w:rsidRDefault="00B93182" w:rsidP="00F66CAB">
            <w:pPr>
              <w:ind w:firstLine="0"/>
              <w:jc w:val="left"/>
              <w:rPr>
                <w:rFonts w:ascii="Arial" w:hAnsi="Arial" w:cs="Arial"/>
                <w:strike/>
                <w:color w:val="002060"/>
                <w:spacing w:val="-2"/>
                <w:sz w:val="20"/>
                <w:szCs w:val="20"/>
              </w:rPr>
            </w:pPr>
            <w:r w:rsidRPr="00D128EF">
              <w:rPr>
                <w:rFonts w:ascii="Arial" w:hAnsi="Arial" w:cs="Arial"/>
                <w:b/>
                <w:spacing w:val="-2"/>
                <w:sz w:val="20"/>
                <w:szCs w:val="20"/>
              </w:rPr>
              <w:t xml:space="preserve">Art. 74 </w:t>
            </w:r>
            <w:r w:rsidRPr="00D128EF">
              <w:rPr>
                <w:rFonts w:ascii="Arial" w:hAnsi="Arial" w:cs="Arial"/>
                <w:b/>
                <w:bCs/>
                <w:spacing w:val="-2"/>
                <w:sz w:val="20"/>
                <w:szCs w:val="20"/>
              </w:rPr>
              <w:t>§ 4. </w:t>
            </w:r>
            <w:r w:rsidRPr="00D128EF">
              <w:rPr>
                <w:rFonts w:ascii="Arial" w:hAnsi="Arial" w:cs="Arial"/>
                <w:spacing w:val="-2"/>
                <w:sz w:val="20"/>
                <w:szCs w:val="20"/>
              </w:rPr>
              <w:t>Minister Sprawiedliwości w porozumieniu z ministrem właściwym do spraw zdrowia określi, w drodze rozporządzenia, szczegółowe warunki i sposób poddawania oskarżonego oraz osoby podejrzanej badaniom, a także wykonywania z ich udziałem czynności, o których mowa w § 2 pkt 1 i 3 oraz § 3, mając na uwadze, aby gromadzenie, utrwalanie i analiza materiału dowodowego były dokonywane zgodnie z aktualną wiedzą w zakresie kryminalistyki i medycyny sądowej</w:t>
            </w:r>
          </w:p>
        </w:tc>
      </w:tr>
      <w:tr w:rsidR="00B93182" w:rsidRPr="00D128EF" w14:paraId="207E5E62" w14:textId="77777777" w:rsidTr="00522E6D">
        <w:tc>
          <w:tcPr>
            <w:tcW w:w="14029" w:type="dxa"/>
          </w:tcPr>
          <w:p w14:paraId="2E4CB085" w14:textId="7BFA5B4A" w:rsidR="00B93182" w:rsidRPr="00D128EF" w:rsidRDefault="00B93182" w:rsidP="00F66CAB">
            <w:pPr>
              <w:ind w:firstLine="0"/>
              <w:jc w:val="left"/>
              <w:rPr>
                <w:rFonts w:ascii="Arial" w:hAnsi="Arial" w:cs="Arial"/>
                <w:b/>
                <w:bCs/>
                <w:color w:val="002060"/>
                <w:spacing w:val="-2"/>
                <w:sz w:val="20"/>
                <w:szCs w:val="20"/>
              </w:rPr>
            </w:pPr>
            <w:r w:rsidRPr="00D128EF">
              <w:rPr>
                <w:rFonts w:ascii="Arial" w:hAnsi="Arial" w:cs="Arial"/>
                <w:b/>
                <w:color w:val="000000"/>
                <w:spacing w:val="-2"/>
                <w:sz w:val="20"/>
                <w:szCs w:val="20"/>
              </w:rPr>
              <w:t>Art. 79 § 3a.</w:t>
            </w:r>
            <w:r w:rsidRPr="00D128EF">
              <w:rPr>
                <w:rFonts w:ascii="Arial" w:hAnsi="Arial" w:cs="Arial"/>
                <w:color w:val="000000"/>
                <w:spacing w:val="-2"/>
                <w:sz w:val="20"/>
                <w:szCs w:val="20"/>
              </w:rPr>
              <w:t xml:space="preserve"> Oskarżony, o którym mowa w § 1 pkt 1, musi mieć obrońcę aż do prawomocnego zakończenia postępowania, chyba że sąd orzeknie, że udział obrońcy po ukończeniu przez oskarżonego 21 lat nie jest obowiązkowy. Prezes sądu albo sąd zwalnia wówczas obrońcę z jego obowiązków, chyba że zachodzą inne okoliczności przemawiające za tym, aby oskarżony miał obrońcę wyznaczonego z urzędu.</w:t>
            </w:r>
          </w:p>
        </w:tc>
      </w:tr>
      <w:tr w:rsidR="00B93182" w:rsidRPr="00D128EF" w14:paraId="7922FD22" w14:textId="77777777" w:rsidTr="00522E6D">
        <w:tc>
          <w:tcPr>
            <w:tcW w:w="14029" w:type="dxa"/>
          </w:tcPr>
          <w:p w14:paraId="16A8C54C" w14:textId="7C381232" w:rsidR="00B93182" w:rsidRPr="00D128EF" w:rsidRDefault="00B93182" w:rsidP="00F66CAB">
            <w:pPr>
              <w:ind w:firstLine="0"/>
              <w:jc w:val="left"/>
              <w:rPr>
                <w:rFonts w:ascii="Arial" w:hAnsi="Arial" w:cs="Arial"/>
                <w:b/>
                <w:color w:val="000000"/>
                <w:spacing w:val="-2"/>
                <w:sz w:val="20"/>
                <w:szCs w:val="20"/>
              </w:rPr>
            </w:pPr>
            <w:r w:rsidRPr="00D128EF">
              <w:rPr>
                <w:rFonts w:ascii="Arial" w:hAnsi="Arial" w:cs="Arial"/>
                <w:b/>
                <w:color w:val="000000"/>
                <w:spacing w:val="-2"/>
                <w:sz w:val="20"/>
                <w:szCs w:val="20"/>
              </w:rPr>
              <w:lastRenderedPageBreak/>
              <w:t xml:space="preserve">Art. 81 § 1. </w:t>
            </w:r>
            <w:r w:rsidRPr="00D128EF">
              <w:rPr>
                <w:rFonts w:ascii="Arial" w:hAnsi="Arial" w:cs="Arial"/>
                <w:bCs/>
                <w:color w:val="000000"/>
                <w:spacing w:val="-2"/>
                <w:sz w:val="20"/>
                <w:szCs w:val="20"/>
              </w:rPr>
              <w:t xml:space="preserve">Jeżeli w sytuacji określonej w art. 78 § 1 lub 1a, art. 78a § 1 lub 2, art. 79 § 1 i 2, </w:t>
            </w:r>
            <w:r w:rsidRPr="00FB4103">
              <w:rPr>
                <w:rFonts w:ascii="Arial" w:hAnsi="Arial" w:cs="Arial"/>
                <w:bCs/>
                <w:color w:val="002060"/>
                <w:spacing w:val="-2"/>
                <w:sz w:val="20"/>
                <w:szCs w:val="20"/>
              </w:rPr>
              <w:t>607da § 2</w:t>
            </w:r>
            <w:r w:rsidRPr="00FB4103">
              <w:rPr>
                <w:rFonts w:ascii="Arial" w:hAnsi="Arial" w:cs="Arial"/>
                <w:color w:val="002060"/>
                <w:spacing w:val="-2"/>
                <w:sz w:val="20"/>
                <w:szCs w:val="20"/>
              </w:rPr>
              <w:t xml:space="preserve"> </w:t>
            </w:r>
            <w:r w:rsidRPr="00D128EF">
              <w:rPr>
                <w:rFonts w:ascii="Arial" w:hAnsi="Arial" w:cs="Arial"/>
                <w:bCs/>
                <w:color w:val="000000"/>
                <w:spacing w:val="-2"/>
                <w:sz w:val="20"/>
                <w:szCs w:val="20"/>
              </w:rPr>
              <w:t>oraz art. 80 oskarżony nie ma obrońcy z wyboru, prezes lub referendarz sądowy sądu właściwego do rozpoznania sprawy wyznacza mu obrońcę z urzędu.</w:t>
            </w:r>
          </w:p>
        </w:tc>
      </w:tr>
      <w:tr w:rsidR="00B93182" w:rsidRPr="00D128EF" w14:paraId="1948BAB7" w14:textId="77777777" w:rsidTr="00522E6D">
        <w:tc>
          <w:tcPr>
            <w:tcW w:w="14029" w:type="dxa"/>
          </w:tcPr>
          <w:p w14:paraId="5238CC4D" w14:textId="65B6B2D0" w:rsidR="00B93182" w:rsidRPr="00D128EF" w:rsidRDefault="00B93182" w:rsidP="00F66CAB">
            <w:pPr>
              <w:ind w:firstLine="0"/>
              <w:jc w:val="left"/>
              <w:rPr>
                <w:rFonts w:ascii="Arial" w:hAnsi="Arial" w:cs="Arial"/>
                <w:b/>
                <w:color w:val="000000"/>
                <w:spacing w:val="-2"/>
                <w:sz w:val="20"/>
                <w:szCs w:val="20"/>
              </w:rPr>
            </w:pPr>
            <w:r w:rsidRPr="00D128EF">
              <w:rPr>
                <w:rFonts w:ascii="Arial" w:hAnsi="Arial" w:cs="Arial"/>
                <w:b/>
                <w:color w:val="002060"/>
                <w:spacing w:val="-2"/>
                <w:sz w:val="20"/>
                <w:szCs w:val="20"/>
              </w:rPr>
              <w:t xml:space="preserve">„Art. 81a § 1a. </w:t>
            </w:r>
            <w:r w:rsidRPr="00D128EF">
              <w:rPr>
                <w:rFonts w:ascii="Arial" w:hAnsi="Arial" w:cs="Arial"/>
                <w:color w:val="002060"/>
                <w:spacing w:val="-2"/>
                <w:sz w:val="20"/>
                <w:szCs w:val="20"/>
              </w:rPr>
              <w:t>W sytuacji, o której mowa w art. 301 § 5 lub 6, wniosek o wyznaczenie obrońcy z urzędu oraz inne dokumenty niezbędne do jego rozpoznania organ prowadzący postępowanie przygotowawcze niezwłocznie przekazuje do właściwego sądu. Może to nastąpić za pośrednictwem telefaksu lub poczty elektronicznej. W miarę możliwości prezes sądu lub referendarz sądowy wyznacza jako obrońcę z urzędu adwokata lub radcę prawnego, który został wyznaczony w trybie określonym w art. 301 § 5 lub 6.</w:t>
            </w:r>
          </w:p>
        </w:tc>
      </w:tr>
      <w:tr w:rsidR="00B93182" w:rsidRPr="00D128EF" w14:paraId="3C95D936" w14:textId="77777777" w:rsidTr="00522E6D">
        <w:tc>
          <w:tcPr>
            <w:tcW w:w="14029" w:type="dxa"/>
          </w:tcPr>
          <w:p w14:paraId="741D232D" w14:textId="7213F56F" w:rsidR="00B93182" w:rsidRPr="00D128EF" w:rsidRDefault="00B93182" w:rsidP="00F66CAB">
            <w:pPr>
              <w:ind w:firstLine="0"/>
              <w:jc w:val="left"/>
              <w:rPr>
                <w:rFonts w:ascii="Arial" w:hAnsi="Arial" w:cs="Arial"/>
                <w:b/>
                <w:bCs/>
                <w:color w:val="002060"/>
                <w:spacing w:val="-2"/>
                <w:sz w:val="20"/>
                <w:szCs w:val="20"/>
              </w:rPr>
            </w:pPr>
            <w:r w:rsidRPr="00D128EF">
              <w:rPr>
                <w:rFonts w:ascii="Arial" w:eastAsiaTheme="minorEastAsia" w:hAnsi="Arial" w:cs="Arial"/>
                <w:color w:val="000000"/>
                <w:spacing w:val="-2"/>
                <w:sz w:val="20"/>
                <w:szCs w:val="20"/>
                <w:lang w:eastAsia="pl-PL"/>
              </w:rPr>
              <w:t>81a §  3. Jeżeli okoliczności wskazują na konieczność natychmiastowego podjęcia obrony:</w:t>
            </w:r>
            <w:r w:rsidRPr="00D128EF">
              <w:rPr>
                <w:rFonts w:ascii="Arial" w:hAnsi="Arial" w:cs="Arial"/>
                <w:bCs/>
                <w:spacing w:val="-2"/>
                <w:sz w:val="20"/>
                <w:szCs w:val="20"/>
              </w:rPr>
              <w:t xml:space="preserve"> </w:t>
            </w:r>
            <w:r w:rsidRPr="00D128EF">
              <w:rPr>
                <w:rFonts w:ascii="Arial" w:hAnsi="Arial" w:cs="Arial"/>
                <w:color w:val="002060"/>
                <w:spacing w:val="-2"/>
                <w:sz w:val="20"/>
                <w:szCs w:val="20"/>
              </w:rPr>
              <w:t>w szczególności w przypadku, o którym mowa w art. 301 § 5 i 6:</w:t>
            </w:r>
            <w:r w:rsidRPr="00D128EF">
              <w:rPr>
                <w:rFonts w:ascii="Arial" w:hAnsi="Arial" w:cs="Arial"/>
                <w:bCs/>
                <w:spacing w:val="-2"/>
                <w:sz w:val="20"/>
                <w:szCs w:val="20"/>
              </w:rPr>
              <w:t xml:space="preserve"> </w:t>
            </w:r>
            <w:r w:rsidRPr="00D128EF">
              <w:rPr>
                <w:rFonts w:ascii="Arial" w:hAnsi="Arial" w:cs="Arial"/>
                <w:spacing w:val="-2"/>
                <w:sz w:val="20"/>
                <w:szCs w:val="20"/>
              </w:rPr>
              <w:t>(…)</w:t>
            </w:r>
          </w:p>
        </w:tc>
      </w:tr>
      <w:tr w:rsidR="00B93182" w:rsidRPr="00D128EF" w14:paraId="79B27100" w14:textId="77777777" w:rsidTr="00522E6D">
        <w:tc>
          <w:tcPr>
            <w:tcW w:w="14029" w:type="dxa"/>
          </w:tcPr>
          <w:p w14:paraId="4F0C9933" w14:textId="1C74C807" w:rsidR="00B93182" w:rsidRPr="00D128EF" w:rsidRDefault="00B93182" w:rsidP="00F66CAB">
            <w:pPr>
              <w:ind w:firstLine="0"/>
              <w:jc w:val="left"/>
              <w:rPr>
                <w:rFonts w:ascii="Arial" w:eastAsiaTheme="minorEastAsia" w:hAnsi="Arial" w:cs="Arial"/>
                <w:color w:val="000000"/>
                <w:spacing w:val="-2"/>
                <w:sz w:val="20"/>
                <w:szCs w:val="20"/>
                <w:lang w:eastAsia="pl-PL"/>
              </w:rPr>
            </w:pPr>
            <w:r w:rsidRPr="00D128EF">
              <w:rPr>
                <w:rFonts w:ascii="Arial" w:hAnsi="Arial" w:cs="Arial"/>
                <w:b/>
                <w:color w:val="002060"/>
                <w:spacing w:val="-2"/>
                <w:sz w:val="20"/>
                <w:szCs w:val="20"/>
              </w:rPr>
              <w:t>Art. 84 § 2a.</w:t>
            </w:r>
            <w:r w:rsidRPr="00D128EF">
              <w:rPr>
                <w:rFonts w:ascii="Arial" w:hAnsi="Arial" w:cs="Arial"/>
                <w:color w:val="002060"/>
                <w:spacing w:val="-2"/>
                <w:sz w:val="20"/>
                <w:szCs w:val="20"/>
              </w:rPr>
              <w:t xml:space="preserve"> Obrońca wyznaczony z urzędu w trybie określonym w art. 301 § 5 lub 6 jest zobowiązany podejmować czynności jedynie do czasu prawomocnego rozstrzygnięcia w przedmiocie wniosku o wyznaczenie obrońcy z urzędu na podstawie art. 78 § 1 lub art. 79 § 1.</w:t>
            </w:r>
          </w:p>
        </w:tc>
      </w:tr>
      <w:tr w:rsidR="00B93182" w:rsidRPr="00D128EF" w14:paraId="2004A42D" w14:textId="77777777" w:rsidTr="00522E6D">
        <w:tc>
          <w:tcPr>
            <w:tcW w:w="14029" w:type="dxa"/>
          </w:tcPr>
          <w:p w14:paraId="2C38B4BE" w14:textId="785913F5" w:rsidR="00B93182" w:rsidRPr="00D128EF" w:rsidRDefault="00B93182" w:rsidP="00F66CAB">
            <w:pPr>
              <w:ind w:firstLine="0"/>
              <w:jc w:val="left"/>
              <w:rPr>
                <w:rFonts w:ascii="Arial" w:hAnsi="Arial" w:cs="Arial"/>
                <w:b/>
                <w:bCs/>
                <w:color w:val="002060"/>
                <w:spacing w:val="-2"/>
                <w:sz w:val="20"/>
                <w:szCs w:val="20"/>
              </w:rPr>
            </w:pPr>
            <w:r w:rsidRPr="00D128EF">
              <w:rPr>
                <w:rFonts w:ascii="Arial" w:eastAsiaTheme="minorEastAsia" w:hAnsi="Arial" w:cs="Arial"/>
                <w:b/>
                <w:bCs/>
                <w:color w:val="002060"/>
                <w:spacing w:val="-2"/>
                <w:sz w:val="20"/>
                <w:szCs w:val="20"/>
                <w:lang w:eastAsia="pl-PL"/>
              </w:rPr>
              <w:t>Art. 85 § 2.</w:t>
            </w:r>
            <w:r w:rsidRPr="00D128EF">
              <w:rPr>
                <w:rFonts w:ascii="Arial" w:eastAsiaTheme="minorEastAsia" w:hAnsi="Arial" w:cs="Arial"/>
                <w:color w:val="002060"/>
                <w:spacing w:val="-2"/>
                <w:sz w:val="20"/>
                <w:szCs w:val="20"/>
                <w:lang w:eastAsia="pl-PL"/>
              </w:rPr>
              <w:t xml:space="preserve"> Stwierdzając sprzeczność sąd wydaje postanowienie, zakreślając oskarżonym termin do ustanowienia innych obrońców. W wypadku obrony z urzędu sąd wyznacza innego obrońcę. </w:t>
            </w:r>
            <w:r w:rsidRPr="00D128EF">
              <w:rPr>
                <w:rFonts w:ascii="Arial" w:eastAsiaTheme="minorEastAsia" w:hAnsi="Arial" w:cs="Arial"/>
                <w:strike/>
                <w:color w:val="FF0000"/>
                <w:spacing w:val="-2"/>
                <w:sz w:val="20"/>
                <w:szCs w:val="20"/>
                <w:lang w:eastAsia="pl-PL"/>
              </w:rPr>
              <w:t>Na postanowienie przysługuje zażalenie.</w:t>
            </w:r>
            <w:r w:rsidRPr="00D128EF">
              <w:rPr>
                <w:rFonts w:ascii="Arial" w:hAnsi="Arial" w:cs="Arial"/>
                <w:color w:val="FF0000"/>
                <w:spacing w:val="-2"/>
                <w:sz w:val="20"/>
                <w:szCs w:val="20"/>
              </w:rPr>
              <w:t xml:space="preserve"> </w:t>
            </w:r>
            <w:r w:rsidRPr="00D128EF">
              <w:rPr>
                <w:rFonts w:ascii="Arial" w:hAnsi="Arial" w:cs="Arial"/>
                <w:color w:val="002060"/>
                <w:spacing w:val="-2"/>
                <w:sz w:val="20"/>
                <w:szCs w:val="20"/>
              </w:rPr>
              <w:t>W wypadku obrony z urzędu sąd wyznacza innego obrońcę.</w:t>
            </w:r>
          </w:p>
        </w:tc>
      </w:tr>
      <w:tr w:rsidR="00B93182" w:rsidRPr="00D128EF" w14:paraId="5DC03283" w14:textId="77777777" w:rsidTr="00522E6D">
        <w:tc>
          <w:tcPr>
            <w:tcW w:w="14029" w:type="dxa"/>
          </w:tcPr>
          <w:p w14:paraId="7356219A" w14:textId="77777777" w:rsidR="00B93182" w:rsidRPr="00D128EF" w:rsidRDefault="00B93182" w:rsidP="00F66CAB">
            <w:pPr>
              <w:pStyle w:val="ZLITUSTzmustliter"/>
              <w:spacing w:line="240" w:lineRule="auto"/>
              <w:ind w:left="36" w:hanging="36"/>
              <w:jc w:val="left"/>
              <w:rPr>
                <w:rFonts w:ascii="Arial" w:hAnsi="Arial"/>
                <w:bCs w:val="0"/>
                <w:color w:val="002060"/>
                <w:spacing w:val="-2"/>
                <w:sz w:val="20"/>
              </w:rPr>
            </w:pPr>
            <w:r w:rsidRPr="00D128EF">
              <w:rPr>
                <w:rFonts w:ascii="Arial" w:hAnsi="Arial"/>
                <w:b/>
                <w:color w:val="002060"/>
                <w:spacing w:val="-2"/>
                <w:sz w:val="20"/>
              </w:rPr>
              <w:t xml:space="preserve">Art. 85 </w:t>
            </w:r>
            <w:r w:rsidRPr="00D128EF">
              <w:rPr>
                <w:rFonts w:ascii="Arial" w:hAnsi="Arial"/>
                <w:bCs w:val="0"/>
                <w:color w:val="002060"/>
                <w:spacing w:val="-2"/>
                <w:sz w:val="20"/>
              </w:rPr>
              <w:t>§ 4. Na postanowienie lub zarządzenie w przedmiocie stwierdzenia sprzeczności przysługuje zażalenie.</w:t>
            </w:r>
          </w:p>
          <w:p w14:paraId="07748C17" w14:textId="4A5404B6" w:rsidR="00B93182" w:rsidRPr="00D128EF" w:rsidRDefault="00B93182" w:rsidP="00F66CAB">
            <w:pPr>
              <w:ind w:firstLine="0"/>
              <w:jc w:val="left"/>
              <w:rPr>
                <w:rFonts w:ascii="Arial" w:hAnsi="Arial" w:cs="Arial"/>
                <w:b/>
                <w:bCs/>
                <w:color w:val="002060"/>
                <w:spacing w:val="-2"/>
                <w:sz w:val="20"/>
                <w:szCs w:val="20"/>
              </w:rPr>
            </w:pPr>
            <w:r w:rsidRPr="00D128EF">
              <w:rPr>
                <w:rFonts w:ascii="Arial" w:hAnsi="Arial" w:cs="Arial"/>
                <w:color w:val="002060"/>
                <w:spacing w:val="-2"/>
                <w:sz w:val="20"/>
                <w:szCs w:val="20"/>
              </w:rPr>
              <w:t>§ 5. Ponowny wniosek o stwierdzenie, że interesy oskarżonych pozostają w sprzeczności, oparty na tych samych okolicznościach, pozostawia się bez rozpoznania.”</w:t>
            </w:r>
          </w:p>
        </w:tc>
      </w:tr>
      <w:tr w:rsidR="00B93182" w:rsidRPr="00D128EF" w14:paraId="13F6C002" w14:textId="77777777" w:rsidTr="00522E6D">
        <w:tc>
          <w:tcPr>
            <w:tcW w:w="14029" w:type="dxa"/>
          </w:tcPr>
          <w:p w14:paraId="637EFA32" w14:textId="13D29F13" w:rsidR="00B93182" w:rsidRPr="00D128EF" w:rsidRDefault="00B93182" w:rsidP="00F66CAB">
            <w:pPr>
              <w:ind w:firstLine="0"/>
              <w:jc w:val="left"/>
              <w:rPr>
                <w:rFonts w:ascii="Arial" w:hAnsi="Arial" w:cs="Arial"/>
                <w:b/>
                <w:bCs/>
                <w:color w:val="002060"/>
                <w:spacing w:val="-2"/>
                <w:sz w:val="20"/>
                <w:szCs w:val="20"/>
              </w:rPr>
            </w:pPr>
            <w:r w:rsidRPr="00D128EF">
              <w:rPr>
                <w:rFonts w:ascii="Arial" w:hAnsi="Arial" w:cs="Arial"/>
                <w:b/>
                <w:spacing w:val="-2"/>
                <w:sz w:val="20"/>
                <w:szCs w:val="20"/>
              </w:rPr>
              <w:t>Art. 99 § 1.</w:t>
            </w:r>
            <w:r w:rsidRPr="00D128EF">
              <w:rPr>
                <w:rFonts w:ascii="Arial" w:hAnsi="Arial" w:cs="Arial"/>
                <w:spacing w:val="-2"/>
                <w:sz w:val="20"/>
                <w:szCs w:val="20"/>
              </w:rPr>
              <w:t xml:space="preserve"> Uzasadnienie wyroku sądu pierwszej instancji, </w:t>
            </w:r>
            <w:r w:rsidRPr="00D128EF">
              <w:rPr>
                <w:rFonts w:ascii="Arial" w:hAnsi="Arial" w:cs="Arial"/>
                <w:strike/>
                <w:color w:val="FF0000"/>
                <w:spacing w:val="-2"/>
                <w:sz w:val="20"/>
                <w:szCs w:val="20"/>
              </w:rPr>
              <w:t xml:space="preserve">w tym wyroku nakazowego i wyroku łącznego, </w:t>
            </w:r>
            <w:r w:rsidRPr="00D128EF">
              <w:rPr>
                <w:rFonts w:ascii="Arial" w:hAnsi="Arial" w:cs="Arial"/>
                <w:spacing w:val="-2"/>
                <w:sz w:val="20"/>
                <w:szCs w:val="20"/>
              </w:rPr>
              <w:t>oraz wyroku sądu odwoławczego i wyroku wydanego w postępowaniu o wznowienie postępowania sporządza się na formularzu według ustalonego wzoru.</w:t>
            </w:r>
          </w:p>
        </w:tc>
      </w:tr>
      <w:tr w:rsidR="00B93182" w:rsidRPr="00D128EF" w14:paraId="1B492747" w14:textId="77777777" w:rsidTr="00522E6D">
        <w:tc>
          <w:tcPr>
            <w:tcW w:w="14029" w:type="dxa"/>
          </w:tcPr>
          <w:p w14:paraId="6CBA217A" w14:textId="1E7768E1"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Art. 100 § 1.</w:t>
            </w:r>
            <w:r w:rsidRPr="00D128EF">
              <w:rPr>
                <w:rFonts w:ascii="Arial" w:hAnsi="Arial" w:cs="Arial"/>
                <w:b/>
                <w:color w:val="002060"/>
                <w:spacing w:val="-2"/>
                <w:sz w:val="20"/>
                <w:szCs w:val="20"/>
              </w:rPr>
              <w:t xml:space="preserve"> </w:t>
            </w:r>
            <w:r w:rsidRPr="00D128EF">
              <w:rPr>
                <w:rFonts w:ascii="Arial" w:hAnsi="Arial" w:cs="Arial"/>
                <w:bCs/>
                <w:spacing w:val="-2"/>
                <w:sz w:val="20"/>
                <w:szCs w:val="20"/>
              </w:rPr>
              <w:t xml:space="preserve">Orzeczenie lub zarządzenie wydane na rozprawie </w:t>
            </w:r>
            <w:r w:rsidRPr="00D128EF">
              <w:rPr>
                <w:rFonts w:ascii="Arial" w:hAnsi="Arial" w:cs="Arial"/>
                <w:color w:val="002060"/>
                <w:spacing w:val="-2"/>
                <w:sz w:val="20"/>
                <w:szCs w:val="20"/>
              </w:rPr>
              <w:t xml:space="preserve">lub posiedzeniu jawnym </w:t>
            </w:r>
            <w:r w:rsidRPr="00D128EF">
              <w:rPr>
                <w:rFonts w:ascii="Arial" w:hAnsi="Arial" w:cs="Arial"/>
                <w:bCs/>
                <w:spacing w:val="-2"/>
                <w:sz w:val="20"/>
                <w:szCs w:val="20"/>
              </w:rPr>
              <w:t>ogłasza się ustnie.</w:t>
            </w:r>
            <w:r w:rsidRPr="00D128EF">
              <w:rPr>
                <w:rFonts w:ascii="Arial" w:hAnsi="Arial" w:cs="Arial"/>
                <w:spacing w:val="-2"/>
                <w:sz w:val="20"/>
                <w:szCs w:val="20"/>
              </w:rPr>
              <w:t xml:space="preserve"> </w:t>
            </w:r>
            <w:r w:rsidRPr="00FB4103">
              <w:rPr>
                <w:rFonts w:ascii="Arial" w:hAnsi="Arial" w:cs="Arial"/>
                <w:color w:val="002060"/>
                <w:spacing w:val="-2"/>
                <w:sz w:val="20"/>
                <w:szCs w:val="20"/>
              </w:rPr>
              <w:t>Jeżeli na ogłoszeniu nikt się nie stawił, włączając publiczność, można uznać wydane orzeczenie lub zarządzenie za ogłoszone. Przyczynę odstąpienia od ogłoszenia należy wskazać w protokole albo notatce urzędowej z posiedzenia.</w:t>
            </w:r>
          </w:p>
        </w:tc>
      </w:tr>
      <w:tr w:rsidR="00B93182" w:rsidRPr="00D128EF" w14:paraId="58BD73D8" w14:textId="77777777" w:rsidTr="00522E6D">
        <w:tc>
          <w:tcPr>
            <w:tcW w:w="14029" w:type="dxa"/>
          </w:tcPr>
          <w:p w14:paraId="32C5B392" w14:textId="6E6FC882" w:rsidR="00B93182" w:rsidRPr="00D128EF" w:rsidRDefault="00B93182" w:rsidP="00F66CAB">
            <w:pPr>
              <w:ind w:firstLine="0"/>
              <w:jc w:val="left"/>
              <w:rPr>
                <w:rFonts w:ascii="Arial" w:hAnsi="Arial" w:cs="Arial"/>
                <w:bCs/>
                <w:strike/>
                <w:color w:val="FF0000"/>
                <w:spacing w:val="-2"/>
                <w:sz w:val="20"/>
                <w:szCs w:val="20"/>
              </w:rPr>
            </w:pPr>
            <w:r w:rsidRPr="00EB3430">
              <w:rPr>
                <w:rFonts w:ascii="Arial" w:hAnsi="Arial" w:cs="Arial"/>
                <w:b/>
                <w:strike/>
                <w:color w:val="FF0000"/>
                <w:spacing w:val="-2"/>
                <w:sz w:val="20"/>
                <w:szCs w:val="20"/>
              </w:rPr>
              <w:t xml:space="preserve">Art. 100 §  1a.  </w:t>
            </w:r>
            <w:r w:rsidRPr="00D128EF">
              <w:rPr>
                <w:rFonts w:ascii="Arial" w:hAnsi="Arial" w:cs="Arial"/>
                <w:bCs/>
                <w:strike/>
                <w:color w:val="FF0000"/>
                <w:spacing w:val="-2"/>
                <w:sz w:val="20"/>
                <w:szCs w:val="20"/>
              </w:rPr>
              <w:t>Orzeczenie lub zarządzenie wydane na posiedzeniu jawnym ogłasza się ustnie. Jeżeli na ogłoszeniu nikt się nie stawił, można uznać wydane orzeczenie lub zarządzenie za ogłoszone. Przyczynę odstąpienia od ogłoszenia należy wskazać w protokole albo notatce urzędowej z posiedzenia.</w:t>
            </w:r>
          </w:p>
        </w:tc>
      </w:tr>
      <w:tr w:rsidR="00B93182" w:rsidRPr="00D128EF" w14:paraId="13222F09" w14:textId="77777777" w:rsidTr="00522E6D">
        <w:tc>
          <w:tcPr>
            <w:tcW w:w="14029" w:type="dxa"/>
          </w:tcPr>
          <w:p w14:paraId="0B783296" w14:textId="5FF72BE9" w:rsidR="00B93182" w:rsidRPr="00D128EF" w:rsidRDefault="00B93182" w:rsidP="00F66CAB">
            <w:pPr>
              <w:ind w:firstLine="0"/>
              <w:jc w:val="left"/>
              <w:rPr>
                <w:rFonts w:ascii="Arial" w:hAnsi="Arial" w:cs="Arial"/>
                <w:bCs/>
                <w:spacing w:val="-2"/>
                <w:sz w:val="20"/>
                <w:szCs w:val="20"/>
              </w:rPr>
            </w:pPr>
            <w:r w:rsidRPr="00EB3430">
              <w:rPr>
                <w:rFonts w:ascii="Arial" w:hAnsi="Arial" w:cs="Arial"/>
                <w:b/>
                <w:spacing w:val="-2"/>
                <w:sz w:val="20"/>
                <w:szCs w:val="20"/>
              </w:rPr>
              <w:t>Art. 114. § 1.</w:t>
            </w:r>
            <w:r w:rsidRPr="00D128EF">
              <w:rPr>
                <w:rFonts w:ascii="Arial" w:hAnsi="Arial" w:cs="Arial"/>
                <w:bCs/>
                <w:spacing w:val="-2"/>
                <w:sz w:val="20"/>
                <w:szCs w:val="20"/>
              </w:rPr>
              <w:t xml:space="preserve"> Przy składaniu podpisu członek składu orzekającego ma prawo zaznaczyć na orzeczeniu swoje zdanie odrębne. </w:t>
            </w:r>
            <w:r w:rsidRPr="00D128EF">
              <w:rPr>
                <w:rFonts w:ascii="Arial" w:hAnsi="Arial" w:cs="Arial"/>
                <w:bCs/>
                <w:strike/>
                <w:color w:val="FF0000"/>
                <w:spacing w:val="-2"/>
                <w:sz w:val="20"/>
                <w:szCs w:val="20"/>
              </w:rPr>
              <w:t>Wzmianka dotycząca zdania odrębnego powinna wskazywać,</w:t>
            </w:r>
            <w:r w:rsidRPr="00D128EF">
              <w:rPr>
                <w:rFonts w:ascii="Arial" w:hAnsi="Arial" w:cs="Arial"/>
                <w:bCs/>
                <w:color w:val="FF0000"/>
                <w:spacing w:val="-2"/>
                <w:sz w:val="20"/>
                <w:szCs w:val="20"/>
              </w:rPr>
              <w:t xml:space="preserve"> </w:t>
            </w:r>
            <w:r w:rsidRPr="00FB4103">
              <w:rPr>
                <w:rFonts w:ascii="Arial" w:hAnsi="Arial" w:cs="Arial"/>
                <w:bCs/>
                <w:color w:val="002060"/>
                <w:spacing w:val="-2"/>
                <w:sz w:val="20"/>
                <w:szCs w:val="20"/>
              </w:rPr>
              <w:t>podając</w:t>
            </w:r>
            <w:r w:rsidRPr="00D128EF">
              <w:rPr>
                <w:rFonts w:ascii="Arial" w:hAnsi="Arial" w:cs="Arial"/>
                <w:bCs/>
                <w:color w:val="002060"/>
                <w:spacing w:val="-2"/>
                <w:sz w:val="20"/>
                <w:szCs w:val="20"/>
              </w:rPr>
              <w:t xml:space="preserve"> </w:t>
            </w:r>
            <w:r w:rsidRPr="00D128EF">
              <w:rPr>
                <w:rFonts w:ascii="Arial" w:hAnsi="Arial" w:cs="Arial"/>
                <w:bCs/>
                <w:spacing w:val="-2"/>
                <w:sz w:val="20"/>
                <w:szCs w:val="20"/>
              </w:rPr>
              <w:t>w jakiej części i w jakim kierunku członek składu orzekającego kwestionuje orzeczenie.</w:t>
            </w:r>
          </w:p>
          <w:p w14:paraId="1D3959FE" w14:textId="77777777" w:rsidR="00B93182" w:rsidRPr="00D128EF" w:rsidRDefault="00B93182" w:rsidP="00F66CAB">
            <w:pPr>
              <w:ind w:firstLine="0"/>
              <w:jc w:val="left"/>
              <w:rPr>
                <w:rFonts w:ascii="Arial" w:hAnsi="Arial" w:cs="Arial"/>
                <w:bCs/>
                <w:spacing w:val="-2"/>
                <w:sz w:val="20"/>
                <w:szCs w:val="20"/>
              </w:rPr>
            </w:pPr>
            <w:r w:rsidRPr="00D128EF">
              <w:rPr>
                <w:rFonts w:ascii="Arial" w:hAnsi="Arial" w:cs="Arial"/>
                <w:bCs/>
                <w:spacing w:val="-2"/>
                <w:sz w:val="20"/>
                <w:szCs w:val="20"/>
              </w:rPr>
              <w:t>§ 2. Zdanie odrębne może dotyczyć również samego uzasadnienia orzeczenia; wówczas zdanie to, ze wskazaniem daty jego zgłoszenia, zaznacza się przy podpisywaniu uzasadnienia. Przepis § 1 zdanie drugie stosuje się odpowiednio.</w:t>
            </w:r>
          </w:p>
          <w:p w14:paraId="3C3E3346" w14:textId="77777777" w:rsidR="00B93182" w:rsidRPr="00D128EF" w:rsidRDefault="00B93182" w:rsidP="00F66CAB">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 3. Uzasadnienie zdania odrębnego należy sporządzić, jeżeli sporządza się uzasadnienie orzeczenia.</w:t>
            </w:r>
          </w:p>
          <w:p w14:paraId="79BE6042" w14:textId="177FC0F6" w:rsidR="00B93182" w:rsidRPr="00D128EF" w:rsidRDefault="00B93182" w:rsidP="00F66CAB">
            <w:pPr>
              <w:ind w:firstLine="0"/>
              <w:jc w:val="left"/>
              <w:rPr>
                <w:rFonts w:ascii="Arial" w:hAnsi="Arial" w:cs="Arial"/>
                <w:bCs/>
                <w:color w:val="002060"/>
                <w:spacing w:val="-2"/>
                <w:sz w:val="20"/>
                <w:szCs w:val="20"/>
              </w:rPr>
            </w:pPr>
            <w:r w:rsidRPr="00D128EF">
              <w:rPr>
                <w:rFonts w:ascii="Arial" w:hAnsi="Arial" w:cs="Arial"/>
                <w:bCs/>
                <w:color w:val="002060"/>
                <w:spacing w:val="-2"/>
                <w:sz w:val="20"/>
                <w:szCs w:val="20"/>
              </w:rPr>
              <w:t>§ 3. Jeżeli ustawa nie wymaga sporządzenia uzasadnienia wraz z wydaniem orzeczenia, w razie zgłoszenia zdania odrębnego, uzasadnienie należy sporządzić z urzędu w terminie 7 dni od wydania orzeczenia, a składający zdanie odrębne dołącza w ciągu następnych 7 dni jego uzasadnienie; obowiązek ten nie dotyczy ławnika.”,</w:t>
            </w:r>
          </w:p>
          <w:p w14:paraId="39149136" w14:textId="2C3186E6" w:rsidR="00B93182" w:rsidRPr="00D128EF" w:rsidRDefault="00B93182" w:rsidP="00F66CAB">
            <w:pPr>
              <w:ind w:firstLine="0"/>
              <w:jc w:val="left"/>
              <w:rPr>
                <w:rFonts w:ascii="Arial" w:hAnsi="Arial" w:cs="Arial"/>
                <w:bCs/>
                <w:strike/>
                <w:spacing w:val="-2"/>
                <w:sz w:val="20"/>
                <w:szCs w:val="20"/>
              </w:rPr>
            </w:pPr>
            <w:r w:rsidRPr="00D128EF">
              <w:rPr>
                <w:rFonts w:ascii="Arial" w:hAnsi="Arial" w:cs="Arial"/>
                <w:bCs/>
                <w:strike/>
                <w:color w:val="FF0000"/>
                <w:spacing w:val="-2"/>
                <w:sz w:val="20"/>
                <w:szCs w:val="20"/>
              </w:rPr>
              <w:t>§ 4. Uzasadnienie zdania odrębnego sporządza członek składu orzekającego, który je zgłosił, w terminie przewidzianym dla sporządzenia uzasadnienia orzeczenia, a jeżeli zdanie odrębne dotyczy uzasadnienia orzeczenia – w terminie 7 dni od zgłoszenia zdania odrębnego. Obowiązek sporządzenia uzasadnienia zdania odrębnego nie dotyczy ławnika.</w:t>
            </w:r>
          </w:p>
        </w:tc>
      </w:tr>
      <w:tr w:rsidR="00B93182" w:rsidRPr="00D128EF" w14:paraId="31863602" w14:textId="77777777" w:rsidTr="00522E6D">
        <w:tc>
          <w:tcPr>
            <w:tcW w:w="14029" w:type="dxa"/>
          </w:tcPr>
          <w:p w14:paraId="224B6A56" w14:textId="06D323FB" w:rsidR="00B93182" w:rsidRPr="00D128EF" w:rsidRDefault="008923A3" w:rsidP="00F66CAB">
            <w:pPr>
              <w:ind w:firstLine="0"/>
              <w:jc w:val="left"/>
              <w:rPr>
                <w:rFonts w:ascii="Arial" w:hAnsi="Arial" w:cs="Arial"/>
                <w:bCs/>
                <w:spacing w:val="-2"/>
                <w:sz w:val="20"/>
                <w:szCs w:val="20"/>
              </w:rPr>
            </w:pPr>
            <w:r>
              <w:rPr>
                <w:rFonts w:ascii="Arial" w:hAnsi="Arial" w:cs="Arial"/>
                <w:b/>
                <w:spacing w:val="-2"/>
                <w:sz w:val="20"/>
                <w:szCs w:val="20"/>
              </w:rPr>
              <w:t>A</w:t>
            </w:r>
            <w:r w:rsidR="00B93182" w:rsidRPr="00D128EF">
              <w:rPr>
                <w:rFonts w:ascii="Arial" w:hAnsi="Arial" w:cs="Arial"/>
                <w:b/>
                <w:spacing w:val="-2"/>
                <w:sz w:val="20"/>
                <w:szCs w:val="20"/>
              </w:rPr>
              <w:t>rt. 147 § 2a.</w:t>
            </w:r>
            <w:r w:rsidR="00B93182" w:rsidRPr="00D128EF">
              <w:rPr>
                <w:rFonts w:ascii="Arial" w:hAnsi="Arial" w:cs="Arial"/>
                <w:bCs/>
                <w:spacing w:val="-2"/>
                <w:sz w:val="20"/>
                <w:szCs w:val="20"/>
              </w:rPr>
              <w:t xml:space="preserve"> Przesłuchanie w trybie określonym w art. 185a-185c oraz art. 185e </w:t>
            </w:r>
            <w:r w:rsidR="00B93182" w:rsidRPr="00EB3430">
              <w:rPr>
                <w:rFonts w:ascii="Arial" w:hAnsi="Arial" w:cs="Arial"/>
                <w:bCs/>
                <w:color w:val="002060"/>
                <w:spacing w:val="-2"/>
                <w:sz w:val="20"/>
                <w:szCs w:val="20"/>
              </w:rPr>
              <w:t>oraz przesłuchanie podejrzanego, który nie ukończył 18 lat</w:t>
            </w:r>
            <w:r w:rsidR="00B93182" w:rsidRPr="00D128EF">
              <w:rPr>
                <w:rFonts w:ascii="Arial" w:hAnsi="Arial" w:cs="Arial"/>
                <w:bCs/>
                <w:spacing w:val="-2"/>
                <w:sz w:val="20"/>
                <w:szCs w:val="20"/>
              </w:rPr>
              <w:t>, utrwala się za pomocą urządzenia rejestrującego obraz i dźwięk.</w:t>
            </w:r>
          </w:p>
        </w:tc>
      </w:tr>
      <w:tr w:rsidR="00B93182" w:rsidRPr="00D128EF" w14:paraId="72610A8B" w14:textId="77777777" w:rsidTr="00522E6D">
        <w:tc>
          <w:tcPr>
            <w:tcW w:w="14029" w:type="dxa"/>
          </w:tcPr>
          <w:p w14:paraId="3139B8B5" w14:textId="77A28AC0"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 xml:space="preserve">Art. 156 § 5. </w:t>
            </w:r>
            <w:r w:rsidR="00EB3430" w:rsidRPr="00EB3430">
              <w:rPr>
                <w:rFonts w:ascii="Arial" w:hAnsi="Arial" w:cs="Arial"/>
                <w:bCs/>
                <w:spacing w:val="-2"/>
                <w:sz w:val="20"/>
                <w:szCs w:val="20"/>
              </w:rPr>
              <w:t>Jeżeli nie zachodzi potrzeba zabezpieczenia prawidłowego toku postępowania lub ochrony ważnego interesu państwa, w toku postępowania przygotowawczego stronom, obrońcom, pełnomocnikom i przedstawicielom ustawowym udostępnia się akta, umożliwia sporządzanie odpisów lub kopii oraz wydaje odpłatnie uwierzytelnione odpisy lub kopie</w:t>
            </w:r>
            <w:r w:rsidR="00EB3430">
              <w:rPr>
                <w:rFonts w:ascii="Arial" w:hAnsi="Arial" w:cs="Arial"/>
                <w:bCs/>
                <w:spacing w:val="-2"/>
                <w:sz w:val="20"/>
                <w:szCs w:val="20"/>
              </w:rPr>
              <w:t xml:space="preserve">; </w:t>
            </w:r>
            <w:r w:rsidR="00EB3430" w:rsidRPr="00EB3430">
              <w:rPr>
                <w:rFonts w:ascii="Arial" w:hAnsi="Arial" w:cs="Arial"/>
                <w:bCs/>
                <w:color w:val="002060"/>
                <w:spacing w:val="-2"/>
                <w:sz w:val="20"/>
                <w:szCs w:val="20"/>
              </w:rPr>
              <w:t>prawo to przysługuje stronom także po zakończeniu postępowania przygotowawczego</w:t>
            </w:r>
            <w:r w:rsidR="00EB3430" w:rsidRPr="00EB3430">
              <w:rPr>
                <w:rFonts w:ascii="Arial" w:hAnsi="Arial" w:cs="Arial"/>
                <w:bCs/>
                <w:spacing w:val="-2"/>
                <w:sz w:val="20"/>
                <w:szCs w:val="20"/>
              </w:rPr>
              <w:t>. W</w:t>
            </w:r>
            <w:r w:rsidR="00EB3430">
              <w:rPr>
                <w:rFonts w:ascii="Arial" w:hAnsi="Arial" w:cs="Arial"/>
                <w:bCs/>
                <w:spacing w:val="-2"/>
                <w:sz w:val="20"/>
                <w:szCs w:val="20"/>
              </w:rPr>
              <w:t xml:space="preserve"> przedmiocie</w:t>
            </w:r>
            <w:r w:rsidR="00EB3430" w:rsidRPr="00EB3430">
              <w:rPr>
                <w:rFonts w:ascii="Arial" w:hAnsi="Arial" w:cs="Arial"/>
                <w:bCs/>
                <w:color w:val="FF0000"/>
                <w:spacing w:val="-2"/>
                <w:sz w:val="20"/>
                <w:szCs w:val="20"/>
              </w:rPr>
              <w:t xml:space="preserve"> </w:t>
            </w:r>
            <w:r w:rsidR="00EB3430" w:rsidRPr="00EB3430">
              <w:rPr>
                <w:rFonts w:ascii="Arial" w:hAnsi="Arial" w:cs="Arial"/>
                <w:bCs/>
                <w:spacing w:val="-2"/>
                <w:sz w:val="20"/>
                <w:szCs w:val="20"/>
              </w:rPr>
              <w:t xml:space="preserve">udostępnienia akt, sporządzenia odpisów lub kopii lub wydania uwierzytelnionych odpisów lub kopii prowadzący postępowanie przygotowawcze wydaje zarządzenie. W wypadku odmowy udostępnienia akt pokrzywdzonemu na jego wniosek należy poinformować go o możliwości udostępnienia mu akt w późniejszym terminie. Z chwilą powiadomienia podejrzanego lub obrońcy o terminie końcowego zaznajomienia z materiałami postępowania przygotowawczego pokrzywdzonemu, jego pełnomocnikowi lub przedstawicielowi ustawowemu nie można odmówić udostępnienia akt, umożliwienia sporządzania odpisów lub </w:t>
            </w:r>
            <w:r w:rsidR="00EB3430" w:rsidRPr="00EB3430">
              <w:rPr>
                <w:rFonts w:ascii="Arial" w:hAnsi="Arial" w:cs="Arial"/>
                <w:bCs/>
                <w:spacing w:val="-2"/>
                <w:sz w:val="20"/>
                <w:szCs w:val="20"/>
              </w:rPr>
              <w:lastRenderedPageBreak/>
              <w:t>kopii oraz wydania odpisów lub kopii. Za zgodą prokuratora akta w toku postępowania przygotowawczego mogą być w wyjątkowych wypadkach udostępnione innym osobom. Prokurator może udostępnić akta w postaci elektronicznej.</w:t>
            </w:r>
          </w:p>
        </w:tc>
      </w:tr>
      <w:tr w:rsidR="00B93182" w:rsidRPr="00D128EF" w14:paraId="27634ABC" w14:textId="77777777" w:rsidTr="00522E6D">
        <w:tc>
          <w:tcPr>
            <w:tcW w:w="14029" w:type="dxa"/>
          </w:tcPr>
          <w:p w14:paraId="37572A61" w14:textId="02358021"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lastRenderedPageBreak/>
              <w:t xml:space="preserve">Art. 156 § 5a. </w:t>
            </w:r>
            <w:r w:rsidRPr="00D128EF">
              <w:rPr>
                <w:rFonts w:ascii="Arial" w:hAnsi="Arial" w:cs="Arial"/>
                <w:bCs/>
                <w:spacing w:val="-2"/>
                <w:sz w:val="20"/>
                <w:szCs w:val="20"/>
              </w:rPr>
              <w:t xml:space="preserve">W razie złożenia w toku postępowania przygotowawczego wniosku o zastosowanie albo przedłużenie tymczasowego aresztowania – </w:t>
            </w:r>
            <w:r w:rsidRPr="00EB3430">
              <w:rPr>
                <w:rFonts w:ascii="Arial" w:hAnsi="Arial" w:cs="Arial"/>
                <w:bCs/>
                <w:color w:val="002060"/>
                <w:spacing w:val="-2"/>
                <w:sz w:val="20"/>
                <w:szCs w:val="20"/>
              </w:rPr>
              <w:t xml:space="preserve">zawiadamia się o tym podejrzanego i jego obrońcę, pouczając o prawie do zapoznania się z materiałami postępowania. </w:t>
            </w:r>
            <w:r w:rsidRPr="00D128EF">
              <w:rPr>
                <w:rFonts w:ascii="Arial" w:hAnsi="Arial" w:cs="Arial"/>
                <w:bCs/>
                <w:strike/>
                <w:color w:val="FF0000"/>
                <w:spacing w:val="-2"/>
                <w:sz w:val="20"/>
                <w:szCs w:val="20"/>
              </w:rPr>
              <w:t>podejrzanemu i jego obrońcy</w:t>
            </w:r>
            <w:r w:rsidRPr="00D128EF">
              <w:rPr>
                <w:rFonts w:ascii="Arial" w:hAnsi="Arial" w:cs="Arial"/>
                <w:bCs/>
                <w:color w:val="FF0000"/>
                <w:spacing w:val="-2"/>
                <w:sz w:val="20"/>
                <w:szCs w:val="20"/>
              </w:rPr>
              <w:t xml:space="preserve"> </w:t>
            </w:r>
            <w:r w:rsidRPr="00D128EF">
              <w:rPr>
                <w:rFonts w:ascii="Arial" w:hAnsi="Arial" w:cs="Arial"/>
                <w:bCs/>
                <w:spacing w:val="-2"/>
                <w:sz w:val="20"/>
                <w:szCs w:val="20"/>
              </w:rPr>
              <w:t xml:space="preserve">udostępnia się niezwłocznie akta sprawy w części zawierającej treść dowodów dołączonych do wniosku, </w:t>
            </w:r>
            <w:r w:rsidRPr="00EB3430">
              <w:rPr>
                <w:rFonts w:ascii="Arial" w:hAnsi="Arial" w:cs="Arial"/>
                <w:bCs/>
                <w:color w:val="002060"/>
                <w:spacing w:val="-2"/>
                <w:sz w:val="20"/>
                <w:szCs w:val="20"/>
              </w:rPr>
              <w:t>o zastosowanie lub przedłużenie tymczasowego aresztowania oraz w tym zakresie umożliwia sporządzenie odpisów lub kopii</w:t>
            </w:r>
            <w:r w:rsidRPr="00D128EF">
              <w:rPr>
                <w:rFonts w:ascii="Arial" w:hAnsi="Arial" w:cs="Arial"/>
                <w:b/>
                <w:color w:val="0070C0"/>
                <w:spacing w:val="-2"/>
                <w:sz w:val="20"/>
                <w:szCs w:val="20"/>
              </w:rPr>
              <w:t>.</w:t>
            </w:r>
            <w:r w:rsidRPr="00D128EF">
              <w:rPr>
                <w:rFonts w:ascii="Arial" w:hAnsi="Arial" w:cs="Arial"/>
                <w:bCs/>
                <w:strike/>
                <w:color w:val="FF0000"/>
                <w:spacing w:val="-2"/>
                <w:sz w:val="20"/>
                <w:szCs w:val="20"/>
              </w:rPr>
              <w:t>z wyłączeniem dowodów z zeznań świadków, o których mowa w art. 250 § 2b.</w:t>
            </w:r>
          </w:p>
        </w:tc>
      </w:tr>
      <w:tr w:rsidR="00B93182" w:rsidRPr="00D128EF" w14:paraId="5E932B51" w14:textId="77777777" w:rsidTr="00522E6D">
        <w:tc>
          <w:tcPr>
            <w:tcW w:w="14029" w:type="dxa"/>
          </w:tcPr>
          <w:p w14:paraId="15CCF830" w14:textId="63B9CBD5" w:rsidR="00B93182" w:rsidRPr="00D128EF" w:rsidRDefault="00B93182" w:rsidP="00F66CAB">
            <w:pPr>
              <w:ind w:firstLine="0"/>
              <w:jc w:val="left"/>
              <w:rPr>
                <w:rFonts w:ascii="Arial" w:hAnsi="Arial" w:cs="Arial"/>
                <w:b/>
                <w:strike/>
                <w:color w:val="FF0000"/>
                <w:spacing w:val="-2"/>
                <w:sz w:val="20"/>
                <w:szCs w:val="20"/>
              </w:rPr>
            </w:pPr>
            <w:r w:rsidRPr="00D128EF">
              <w:rPr>
                <w:rFonts w:ascii="Arial" w:hAnsi="Arial" w:cs="Arial"/>
                <w:b/>
                <w:strike/>
                <w:color w:val="FF0000"/>
                <w:spacing w:val="-2"/>
                <w:sz w:val="20"/>
                <w:szCs w:val="20"/>
              </w:rPr>
              <w:t xml:space="preserve">Art. 156 § 5b. </w:t>
            </w:r>
            <w:r w:rsidRPr="00D128EF">
              <w:rPr>
                <w:rFonts w:ascii="Arial" w:hAnsi="Arial" w:cs="Arial"/>
                <w:bCs/>
                <w:strike/>
                <w:color w:val="FF0000"/>
                <w:spacing w:val="-2"/>
                <w:sz w:val="20"/>
                <w:szCs w:val="20"/>
              </w:rPr>
              <w:t>Przepis § 5 stosuje się odpowiednio do udostępniania akt zakończonego postępowania przygotowawczego.</w:t>
            </w:r>
          </w:p>
        </w:tc>
      </w:tr>
      <w:tr w:rsidR="00B93182" w:rsidRPr="00D128EF" w14:paraId="3FCC9B5D" w14:textId="77777777" w:rsidTr="00522E6D">
        <w:tc>
          <w:tcPr>
            <w:tcW w:w="14029" w:type="dxa"/>
          </w:tcPr>
          <w:p w14:paraId="242FA963" w14:textId="454F4786"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Art. 159.</w:t>
            </w:r>
            <w:r w:rsidRPr="00D128EF">
              <w:rPr>
                <w:rFonts w:ascii="Arial" w:hAnsi="Arial" w:cs="Arial"/>
                <w:bCs/>
                <w:spacing w:val="-2"/>
                <w:sz w:val="20"/>
                <w:szCs w:val="20"/>
              </w:rPr>
              <w:t xml:space="preserve"> Na odmowę udostępnienia akt w postępowaniu przygotowawczym </w:t>
            </w:r>
            <w:r w:rsidRPr="00EB3430">
              <w:rPr>
                <w:rFonts w:ascii="Arial" w:hAnsi="Arial" w:cs="Arial"/>
                <w:bCs/>
                <w:color w:val="002060"/>
                <w:spacing w:val="-2"/>
                <w:sz w:val="20"/>
                <w:szCs w:val="20"/>
              </w:rPr>
              <w:t xml:space="preserve">lub sporządzenia odpisów lub kopii oraz na postanowienie prokuratora o utrzymaniu w mocy zarządzenia prowadzącego postępowanie o odmowie udostępnienia akt lub sporządzenia odpisów lub kopii </w:t>
            </w:r>
            <w:r w:rsidRPr="00D128EF">
              <w:rPr>
                <w:rFonts w:ascii="Arial" w:hAnsi="Arial" w:cs="Arial"/>
                <w:bCs/>
                <w:spacing w:val="-2"/>
                <w:sz w:val="20"/>
                <w:szCs w:val="20"/>
              </w:rPr>
              <w:t xml:space="preserve">przysługuje stronom zażalenie; na zarządzenie lub </w:t>
            </w:r>
            <w:r w:rsidRPr="00EB3430">
              <w:rPr>
                <w:rFonts w:ascii="Arial" w:hAnsi="Arial" w:cs="Arial"/>
                <w:bCs/>
                <w:color w:val="002060"/>
                <w:spacing w:val="-2"/>
                <w:sz w:val="20"/>
                <w:szCs w:val="20"/>
              </w:rPr>
              <w:t>postanowienie prokuratora</w:t>
            </w:r>
            <w:r w:rsidRPr="00D128EF">
              <w:rPr>
                <w:rFonts w:ascii="Arial" w:hAnsi="Arial" w:cs="Arial"/>
                <w:bCs/>
                <w:color w:val="002060"/>
                <w:spacing w:val="-2"/>
                <w:sz w:val="20"/>
                <w:szCs w:val="20"/>
              </w:rPr>
              <w:t xml:space="preserve"> </w:t>
            </w:r>
            <w:r w:rsidRPr="00D128EF">
              <w:rPr>
                <w:rFonts w:ascii="Arial" w:hAnsi="Arial" w:cs="Arial"/>
                <w:bCs/>
                <w:spacing w:val="-2"/>
                <w:sz w:val="20"/>
                <w:szCs w:val="20"/>
              </w:rPr>
              <w:t>zażalenie przysługuje do sądu.</w:t>
            </w:r>
          </w:p>
        </w:tc>
      </w:tr>
      <w:tr w:rsidR="00B93182" w:rsidRPr="00D128EF" w14:paraId="7C286BBD" w14:textId="77777777" w:rsidTr="00522E6D">
        <w:tc>
          <w:tcPr>
            <w:tcW w:w="14029" w:type="dxa"/>
          </w:tcPr>
          <w:p w14:paraId="4DB3725D" w14:textId="388C526F"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 xml:space="preserve">Art. 168a. </w:t>
            </w:r>
            <w:r w:rsidRPr="00D128EF">
              <w:rPr>
                <w:rFonts w:ascii="Arial" w:hAnsi="Arial" w:cs="Arial"/>
                <w:bCs/>
                <w:strike/>
                <w:color w:val="FF0000"/>
                <w:spacing w:val="-2"/>
                <w:sz w:val="20"/>
                <w:szCs w:val="20"/>
              </w:rPr>
              <w:t xml:space="preserve">Dowodu nie można uznać za niedopuszczalny wyłącznie na tej podstawie, że został uzyskany z naruszeniem przepisów postępowania lub </w:t>
            </w:r>
            <w:r w:rsidRPr="00D128EF">
              <w:rPr>
                <w:rFonts w:ascii="Arial" w:hAnsi="Arial" w:cs="Arial"/>
                <w:bCs/>
                <w:spacing w:val="-2"/>
                <w:sz w:val="20"/>
                <w:szCs w:val="20"/>
              </w:rPr>
              <w:t>Niedopuszczalne jest przeprowadzenie i wykorzystanie dowodu uzyskanego do celów postępowania karnego za pomocą czynu zabronionego, o którym mowa w art. 1 § 1 Kodeksu karnego.za pomocą czynu zabronionego, o którym mowa w art. 1 § 1 Kodeksu karnego</w:t>
            </w:r>
            <w:r w:rsidRPr="00D128EF">
              <w:rPr>
                <w:rFonts w:ascii="Arial" w:hAnsi="Arial" w:cs="Arial"/>
                <w:bCs/>
                <w:strike/>
                <w:color w:val="FF0000"/>
                <w:spacing w:val="-2"/>
                <w:sz w:val="20"/>
                <w:szCs w:val="20"/>
              </w:rPr>
              <w:t>, chyba że dowód został uzyskany w związku z pełnieniem przez funkcjonariusza publicznego obowiązków służbowych, w wyniku: zabójstwa, umyślnego spowodowania uszczerbku na zdrowiu lub pozbawienia wolności.</w:t>
            </w:r>
            <w:r w:rsidRPr="00D128EF">
              <w:rPr>
                <w:rFonts w:ascii="Arial" w:hAnsi="Arial" w:cs="Arial"/>
                <w:b/>
                <w:spacing w:val="-2"/>
                <w:sz w:val="20"/>
                <w:szCs w:val="20"/>
              </w:rPr>
              <w:t xml:space="preserve"> </w:t>
            </w:r>
          </w:p>
        </w:tc>
      </w:tr>
      <w:tr w:rsidR="00B93182" w:rsidRPr="00D128EF" w14:paraId="1254113A" w14:textId="77777777" w:rsidTr="00522E6D">
        <w:tc>
          <w:tcPr>
            <w:tcW w:w="14029" w:type="dxa"/>
          </w:tcPr>
          <w:p w14:paraId="79E81A7E" w14:textId="77777777" w:rsidR="00B93182" w:rsidRPr="00FB4103"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168b. § 1. </w:t>
            </w:r>
            <w:r w:rsidRPr="00FB4103">
              <w:rPr>
                <w:rFonts w:ascii="Arial" w:hAnsi="Arial" w:cs="Arial"/>
                <w:bCs/>
                <w:color w:val="002060"/>
                <w:spacing w:val="-2"/>
                <w:sz w:val="20"/>
                <w:szCs w:val="20"/>
              </w:rPr>
              <w:t>Wykorzystanie dowodu uzyskanego podczas stosowania kontroli operacyjnej może nastąpić wyłącznie w postępowaniu karnym w sprawie o przestępstwo lub przestępstwo skarbowe, w stosunku do którego jest dopuszczalne stosowanie takiej kontroli przez jakikolwiek uprawniony organ.</w:t>
            </w:r>
          </w:p>
          <w:p w14:paraId="3796D2CF" w14:textId="77777777" w:rsidR="00B93182" w:rsidRPr="00FB4103" w:rsidRDefault="00B93182" w:rsidP="00F66CAB">
            <w:pPr>
              <w:ind w:firstLine="0"/>
              <w:jc w:val="left"/>
              <w:rPr>
                <w:rFonts w:ascii="Arial" w:hAnsi="Arial" w:cs="Arial"/>
                <w:bCs/>
                <w:color w:val="002060"/>
                <w:spacing w:val="-2"/>
                <w:sz w:val="20"/>
                <w:szCs w:val="20"/>
              </w:rPr>
            </w:pPr>
            <w:r w:rsidRPr="00FB4103">
              <w:rPr>
                <w:rFonts w:ascii="Arial" w:hAnsi="Arial" w:cs="Arial"/>
                <w:bCs/>
                <w:spacing w:val="-2"/>
                <w:sz w:val="20"/>
                <w:szCs w:val="20"/>
              </w:rPr>
              <w:t xml:space="preserve">§ 2. Jeżeli w wyniku kontroli operacyjnej zarządzonej na wniosek uprawnionego organu na podstawie przepisów szczególnych uzyskano dowód popełnienia przez osobę, wobec której kontrola operacyjna była stosowana, innego przestępstwa lub przestępstwa skarbowego niż przestępstwo objęte zarządzeniem kontroli operacyjnej bądź przestępstwa lub przestępstwa skarbowego popełnionego przez inną osobę niż objętą zarządzeniem kontroli operacyjnej, prokurator </w:t>
            </w:r>
            <w:r w:rsidRPr="00FB4103">
              <w:rPr>
                <w:rFonts w:ascii="Arial" w:hAnsi="Arial" w:cs="Arial"/>
                <w:bCs/>
                <w:color w:val="002060"/>
                <w:spacing w:val="-2"/>
                <w:sz w:val="20"/>
                <w:szCs w:val="20"/>
              </w:rPr>
              <w:t xml:space="preserve">w toku postępowania przygotowawczego </w:t>
            </w:r>
            <w:r w:rsidRPr="00FB4103">
              <w:rPr>
                <w:rFonts w:ascii="Arial" w:hAnsi="Arial" w:cs="Arial"/>
                <w:bCs/>
                <w:spacing w:val="-2"/>
                <w:sz w:val="20"/>
                <w:szCs w:val="20"/>
              </w:rPr>
              <w:t xml:space="preserve">wydaje postanowienie w przedmiocie wykorzystania tego dowodu w postępowaniu karnym. </w:t>
            </w:r>
            <w:r w:rsidRPr="00FB4103">
              <w:rPr>
                <w:rFonts w:ascii="Arial" w:hAnsi="Arial" w:cs="Arial"/>
                <w:bCs/>
                <w:color w:val="002060"/>
                <w:spacing w:val="-2"/>
                <w:sz w:val="20"/>
                <w:szCs w:val="20"/>
              </w:rPr>
              <w:t>W postanowieniu należy określić wobec jakiej osoby i co do jakich przestępstw dopuszcza się dowodowe wykorzystanie materiałów uzyskanych podczas stosowania kontroli operacyjnej.</w:t>
            </w:r>
          </w:p>
          <w:p w14:paraId="505E5789" w14:textId="74FF19E0" w:rsidR="00B93182" w:rsidRPr="00D128EF" w:rsidRDefault="00B93182" w:rsidP="00F66CAB">
            <w:pPr>
              <w:ind w:firstLine="0"/>
              <w:jc w:val="left"/>
              <w:rPr>
                <w:rFonts w:ascii="Arial" w:hAnsi="Arial" w:cs="Arial"/>
                <w:b/>
                <w:spacing w:val="-2"/>
                <w:sz w:val="20"/>
                <w:szCs w:val="20"/>
              </w:rPr>
            </w:pPr>
            <w:r w:rsidRPr="00FB4103">
              <w:rPr>
                <w:rFonts w:ascii="Arial" w:hAnsi="Arial" w:cs="Arial"/>
                <w:bCs/>
                <w:color w:val="002060"/>
                <w:spacing w:val="-2"/>
                <w:sz w:val="20"/>
                <w:szCs w:val="20"/>
              </w:rPr>
              <w:t>§ 2. Osobę, której dotyczy postanowienie, należy zawiadomić o jego treści przed zakończeniem postępowania przygotowawczego.</w:t>
            </w:r>
          </w:p>
        </w:tc>
      </w:tr>
      <w:tr w:rsidR="00B93182" w:rsidRPr="00D128EF" w14:paraId="08EE5250" w14:textId="77777777" w:rsidTr="00522E6D">
        <w:tc>
          <w:tcPr>
            <w:tcW w:w="14029" w:type="dxa"/>
          </w:tcPr>
          <w:p w14:paraId="5176C0D6" w14:textId="6EEABD6E" w:rsidR="00B93182" w:rsidRPr="00D128EF" w:rsidRDefault="00B93182" w:rsidP="00F66CAB">
            <w:pPr>
              <w:ind w:firstLine="0"/>
              <w:jc w:val="left"/>
              <w:rPr>
                <w:rFonts w:ascii="Arial" w:hAnsi="Arial" w:cs="Arial"/>
                <w:bCs/>
                <w:strike/>
                <w:color w:val="FF0000"/>
                <w:spacing w:val="-2"/>
                <w:sz w:val="20"/>
                <w:szCs w:val="20"/>
              </w:rPr>
            </w:pPr>
            <w:r w:rsidRPr="008923A3">
              <w:rPr>
                <w:rFonts w:ascii="Arial" w:hAnsi="Arial" w:cs="Arial"/>
                <w:b/>
                <w:strike/>
                <w:color w:val="FF0000"/>
                <w:spacing w:val="-2"/>
                <w:sz w:val="20"/>
                <w:szCs w:val="20"/>
              </w:rPr>
              <w:t>Art. 170 §  1 pkt 6)</w:t>
            </w:r>
            <w:r w:rsidRPr="00D128EF">
              <w:rPr>
                <w:rFonts w:ascii="Arial" w:hAnsi="Arial" w:cs="Arial"/>
                <w:bCs/>
                <w:strike/>
                <w:color w:val="FF0000"/>
                <w:spacing w:val="-2"/>
                <w:sz w:val="20"/>
                <w:szCs w:val="20"/>
              </w:rPr>
              <w:t xml:space="preserve"> wniosek dowodowy został złożony po zakreślonym przez organ procesowy terminie, o którym strona składająca wniosek została zawiadomiona.</w:t>
            </w:r>
          </w:p>
        </w:tc>
      </w:tr>
      <w:tr w:rsidR="00B93182" w:rsidRPr="00D128EF" w14:paraId="2419F37C" w14:textId="77777777" w:rsidTr="00522E6D">
        <w:tc>
          <w:tcPr>
            <w:tcW w:w="14029" w:type="dxa"/>
          </w:tcPr>
          <w:p w14:paraId="22AF42F3" w14:textId="7E127D59" w:rsidR="00B93182" w:rsidRPr="00D128EF" w:rsidRDefault="00B93182" w:rsidP="00F66CAB">
            <w:pPr>
              <w:ind w:firstLine="0"/>
              <w:jc w:val="left"/>
              <w:rPr>
                <w:rFonts w:ascii="Arial" w:hAnsi="Arial" w:cs="Arial"/>
                <w:bCs/>
                <w:strike/>
                <w:color w:val="FF0000"/>
                <w:spacing w:val="-2"/>
                <w:sz w:val="20"/>
                <w:szCs w:val="20"/>
              </w:rPr>
            </w:pPr>
            <w:r w:rsidRPr="008923A3">
              <w:rPr>
                <w:rFonts w:ascii="Arial" w:hAnsi="Arial" w:cs="Arial"/>
                <w:b/>
                <w:strike/>
                <w:color w:val="FF0000"/>
                <w:spacing w:val="-2"/>
                <w:sz w:val="20"/>
                <w:szCs w:val="20"/>
              </w:rPr>
              <w:t>Art. 170 §  1a.</w:t>
            </w:r>
            <w:r w:rsidRPr="00D128EF">
              <w:rPr>
                <w:rFonts w:ascii="Arial" w:hAnsi="Arial" w:cs="Arial"/>
                <w:bCs/>
                <w:strike/>
                <w:color w:val="FF0000"/>
                <w:spacing w:val="-2"/>
                <w:sz w:val="20"/>
                <w:szCs w:val="20"/>
              </w:rPr>
              <w:t xml:space="preserve"> Nie można oddalić wniosku dowodowego na podstawie § 1 pkt 5 lub 6, jeżeli okoliczność, która ma być udowodniona, ma istotne znaczenie dla ustalenia, czy został popełniony czyn zabroniony, czy stanowi on przestępstwo i jakie, czy czyn zabroniony został popełniony w warunkach, o których mowa w </w:t>
            </w:r>
            <w:hyperlink r:id="rId8" w:anchor="/document/16798683?unitId=art(64)&amp;cm=DOCUMENT" w:history="1">
              <w:r w:rsidRPr="00D128EF">
                <w:rPr>
                  <w:rFonts w:ascii="Arial" w:hAnsi="Arial" w:cs="Arial"/>
                  <w:bCs/>
                  <w:strike/>
                  <w:color w:val="FF0000"/>
                  <w:spacing w:val="-2"/>
                  <w:sz w:val="20"/>
                  <w:szCs w:val="20"/>
                </w:rPr>
                <w:t>art. 64</w:t>
              </w:r>
            </w:hyperlink>
            <w:r w:rsidRPr="00D128EF">
              <w:rPr>
                <w:rFonts w:ascii="Arial" w:hAnsi="Arial" w:cs="Arial"/>
                <w:bCs/>
                <w:strike/>
                <w:color w:val="FF0000"/>
                <w:spacing w:val="-2"/>
                <w:sz w:val="20"/>
                <w:szCs w:val="20"/>
              </w:rPr>
              <w:t xml:space="preserve"> lub </w:t>
            </w:r>
            <w:hyperlink r:id="rId9" w:anchor="/document/16798683?unitId=art(65)&amp;cm=DOCUMENT" w:history="1">
              <w:r w:rsidRPr="00D128EF">
                <w:rPr>
                  <w:rFonts w:ascii="Arial" w:hAnsi="Arial" w:cs="Arial"/>
                  <w:bCs/>
                  <w:strike/>
                  <w:color w:val="FF0000"/>
                  <w:spacing w:val="-2"/>
                  <w:sz w:val="20"/>
                  <w:szCs w:val="20"/>
                </w:rPr>
                <w:t>art. 65</w:t>
              </w:r>
            </w:hyperlink>
            <w:r w:rsidRPr="00D128EF">
              <w:rPr>
                <w:rFonts w:ascii="Arial" w:hAnsi="Arial" w:cs="Arial"/>
                <w:bCs/>
                <w:strike/>
                <w:color w:val="FF0000"/>
                <w:spacing w:val="-2"/>
                <w:sz w:val="20"/>
                <w:szCs w:val="20"/>
              </w:rPr>
              <w:t xml:space="preserve"> Kodeksu karnego, lub czy zachodzą warunki do orzeczenia pobytu w zakładzie psychiatrycznym na podstawie </w:t>
            </w:r>
            <w:hyperlink r:id="rId10" w:anchor="/document/16798683?unitId=art(93(g))&amp;cm=DOCUMENT" w:history="1">
              <w:r w:rsidRPr="00D128EF">
                <w:rPr>
                  <w:rFonts w:ascii="Arial" w:hAnsi="Arial" w:cs="Arial"/>
                  <w:bCs/>
                  <w:strike/>
                  <w:color w:val="FF0000"/>
                  <w:spacing w:val="-2"/>
                  <w:sz w:val="20"/>
                  <w:szCs w:val="20"/>
                </w:rPr>
                <w:t>art. 93g</w:t>
              </w:r>
            </w:hyperlink>
            <w:r w:rsidRPr="00D128EF">
              <w:rPr>
                <w:rFonts w:ascii="Arial" w:hAnsi="Arial" w:cs="Arial"/>
                <w:bCs/>
                <w:strike/>
                <w:color w:val="FF0000"/>
                <w:spacing w:val="-2"/>
                <w:sz w:val="20"/>
                <w:szCs w:val="20"/>
              </w:rPr>
              <w:t xml:space="preserve"> Kodeksu karnego.</w:t>
            </w:r>
          </w:p>
        </w:tc>
      </w:tr>
      <w:tr w:rsidR="00FB4103" w:rsidRPr="00D128EF" w14:paraId="13663796" w14:textId="77777777" w:rsidTr="00522E6D">
        <w:tc>
          <w:tcPr>
            <w:tcW w:w="14029" w:type="dxa"/>
          </w:tcPr>
          <w:p w14:paraId="1A92F8F9" w14:textId="4DAA7CF4" w:rsidR="00FB4103" w:rsidRPr="00FB4103" w:rsidRDefault="00FB4103" w:rsidP="00F66CAB">
            <w:pPr>
              <w:ind w:firstLine="0"/>
              <w:jc w:val="left"/>
              <w:rPr>
                <w:rFonts w:ascii="Arial" w:hAnsi="Arial" w:cs="Arial"/>
                <w:bCs/>
                <w:color w:val="002060"/>
                <w:spacing w:val="-2"/>
                <w:sz w:val="20"/>
                <w:szCs w:val="20"/>
              </w:rPr>
            </w:pPr>
            <w:r w:rsidRPr="00FB4103">
              <w:rPr>
                <w:rFonts w:ascii="Arial" w:hAnsi="Arial" w:cs="Arial"/>
                <w:b/>
                <w:color w:val="002060"/>
                <w:spacing w:val="-2"/>
                <w:sz w:val="20"/>
                <w:szCs w:val="20"/>
              </w:rPr>
              <w:t>Art. 171 § 7a.</w:t>
            </w:r>
            <w:r w:rsidRPr="00FB4103">
              <w:rPr>
                <w:rFonts w:ascii="Arial" w:hAnsi="Arial" w:cs="Arial"/>
                <w:bCs/>
                <w:color w:val="002060"/>
                <w:spacing w:val="-2"/>
                <w:sz w:val="20"/>
                <w:szCs w:val="20"/>
              </w:rPr>
              <w:t xml:space="preserve"> Wyjaśnienia uzyskane z naruszeniem art. 301 § 1–9 lub art. 301a nie mogą stanowić dowodu, chyba że oskarżony o to wnosi</w:t>
            </w:r>
            <w:r>
              <w:rPr>
                <w:rFonts w:ascii="Arial" w:hAnsi="Arial" w:cs="Arial"/>
                <w:bCs/>
                <w:color w:val="002060"/>
                <w:spacing w:val="-2"/>
                <w:sz w:val="20"/>
                <w:szCs w:val="20"/>
              </w:rPr>
              <w:t>.</w:t>
            </w:r>
          </w:p>
        </w:tc>
      </w:tr>
      <w:tr w:rsidR="00B93182" w:rsidRPr="00D128EF" w14:paraId="3B0225C6" w14:textId="77777777" w:rsidTr="00522E6D">
        <w:tc>
          <w:tcPr>
            <w:tcW w:w="14029" w:type="dxa"/>
          </w:tcPr>
          <w:p w14:paraId="6023781E" w14:textId="40A9030B"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 xml:space="preserve">Art. 178 pkt 1. </w:t>
            </w:r>
            <w:r w:rsidRPr="00D128EF">
              <w:rPr>
                <w:rFonts w:ascii="Arial" w:hAnsi="Arial" w:cs="Arial"/>
                <w:bCs/>
                <w:spacing w:val="-2"/>
                <w:sz w:val="20"/>
                <w:szCs w:val="20"/>
              </w:rPr>
              <w:t xml:space="preserve">Nie wolno przesłuchiwać jako świadków: obrońcy </w:t>
            </w:r>
            <w:r w:rsidRPr="00D128EF">
              <w:rPr>
                <w:rFonts w:ascii="Arial" w:hAnsi="Arial" w:cs="Arial"/>
                <w:bCs/>
                <w:strike/>
                <w:color w:val="FF0000"/>
                <w:spacing w:val="-2"/>
                <w:sz w:val="20"/>
                <w:szCs w:val="20"/>
              </w:rPr>
              <w:t xml:space="preserve">albo adwokata lub radcy prawnego działającego na podstawie art. 245 § 1, </w:t>
            </w:r>
            <w:r w:rsidRPr="00D128EF">
              <w:rPr>
                <w:rFonts w:ascii="Arial" w:hAnsi="Arial" w:cs="Arial"/>
                <w:bCs/>
                <w:spacing w:val="-2"/>
                <w:sz w:val="20"/>
                <w:szCs w:val="20"/>
              </w:rPr>
              <w:t>co do faktów, o których dowiedział się udzielając porady prawnej lub prowadząc sprawę;</w:t>
            </w:r>
          </w:p>
        </w:tc>
      </w:tr>
      <w:tr w:rsidR="00B93182" w:rsidRPr="00D128EF" w14:paraId="06F24C44" w14:textId="77777777" w:rsidTr="00522E6D">
        <w:tc>
          <w:tcPr>
            <w:tcW w:w="14029" w:type="dxa"/>
          </w:tcPr>
          <w:p w14:paraId="65E158A3" w14:textId="4CB5440F"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Art. 180 § 2.</w:t>
            </w:r>
            <w:r w:rsidRPr="00D128EF">
              <w:rPr>
                <w:rFonts w:ascii="Arial" w:hAnsi="Arial" w:cs="Arial"/>
                <w:bCs/>
                <w:spacing w:val="-2"/>
                <w:sz w:val="20"/>
                <w:szCs w:val="20"/>
              </w:rPr>
              <w:t xml:space="preserve"> Osoby obowiązane do zachowania tajemnicy notarialnej, adwokackiej, radcy prawnego, doradcy podatkowego, lekarskiej, lub statystycznej </w:t>
            </w:r>
            <w:r w:rsidRPr="00D128EF">
              <w:rPr>
                <w:rFonts w:ascii="Arial" w:hAnsi="Arial" w:cs="Arial"/>
                <w:b/>
                <w:color w:val="002060"/>
                <w:spacing w:val="-2"/>
                <w:sz w:val="20"/>
                <w:szCs w:val="20"/>
              </w:rPr>
              <w:t xml:space="preserve">lub </w:t>
            </w:r>
            <w:r w:rsidRPr="00FB4103">
              <w:rPr>
                <w:rFonts w:ascii="Arial" w:hAnsi="Arial" w:cs="Arial"/>
                <w:bCs/>
                <w:color w:val="002060"/>
                <w:spacing w:val="-2"/>
                <w:sz w:val="20"/>
                <w:szCs w:val="20"/>
              </w:rPr>
              <w:t>tłumacza przysięgłego</w:t>
            </w:r>
            <w:r w:rsidRPr="00D128EF">
              <w:rPr>
                <w:rFonts w:ascii="Arial" w:hAnsi="Arial" w:cs="Arial"/>
                <w:b/>
                <w:color w:val="002060"/>
                <w:spacing w:val="-2"/>
                <w:sz w:val="20"/>
                <w:szCs w:val="20"/>
              </w:rPr>
              <w:t xml:space="preserve"> </w:t>
            </w:r>
            <w:r w:rsidRPr="00D128EF">
              <w:rPr>
                <w:rFonts w:ascii="Arial" w:hAnsi="Arial" w:cs="Arial"/>
                <w:bCs/>
                <w:spacing w:val="-2"/>
                <w:sz w:val="20"/>
                <w:szCs w:val="20"/>
              </w:rPr>
              <w:t>oraz tajemnicy Prokuratorii Generalnej, mogą być przesłuchiwane co do faktów objętych tą tajemnicą tylko wtedy, gdy jest to niezbędne dla dobra wymiaru sprawiedliwości, a okoliczność nie może być ustalona na podstawie innego dowodu. W postępowaniu przygotowawczym w przedmiocie przesłuchania lub zezwolenia na przesłuchanie decyduje sąd, na posiedzeniu bez udziału stron, w terminie nie dłuższym niż 7 dni od daty doręczenia wniosku prokuratora. Na postanowienie sądu przysługuje zażalenie.</w:t>
            </w:r>
            <w:r w:rsidRPr="00D128EF">
              <w:rPr>
                <w:rFonts w:ascii="Arial" w:hAnsi="Arial" w:cs="Arial"/>
                <w:b/>
                <w:color w:val="0070C0"/>
                <w:spacing w:val="-2"/>
                <w:sz w:val="20"/>
                <w:szCs w:val="20"/>
              </w:rPr>
              <w:t xml:space="preserve"> </w:t>
            </w:r>
            <w:r w:rsidRPr="00FB4103">
              <w:rPr>
                <w:rFonts w:ascii="Arial" w:hAnsi="Arial" w:cs="Arial"/>
                <w:bCs/>
                <w:color w:val="002060"/>
                <w:spacing w:val="-2"/>
                <w:sz w:val="20"/>
                <w:szCs w:val="20"/>
              </w:rPr>
              <w:t>Złożenie zażalenia wstrzymuje wykonanie postanowienia. Sąd rozpoznaje zażalenie niezwłocznie, nie później niż przed upływem 7 dni od przekazania sądowi zażalenia wraz z niezbędnymi aktami.</w:t>
            </w:r>
          </w:p>
        </w:tc>
      </w:tr>
      <w:tr w:rsidR="00B93182" w:rsidRPr="00D128EF" w14:paraId="05A52130" w14:textId="77777777" w:rsidTr="00522E6D">
        <w:tc>
          <w:tcPr>
            <w:tcW w:w="14029" w:type="dxa"/>
          </w:tcPr>
          <w:p w14:paraId="0DC61342" w14:textId="1730BE34"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Art. 189 § 1 pkt 3.</w:t>
            </w:r>
            <w:r w:rsidRPr="00D128EF">
              <w:rPr>
                <w:rFonts w:ascii="Arial" w:hAnsi="Arial" w:cs="Arial"/>
                <w:bCs/>
                <w:spacing w:val="-2"/>
                <w:sz w:val="20"/>
                <w:szCs w:val="20"/>
              </w:rPr>
              <w:t xml:space="preserve"> Nie odbiera się przyrzeczenia: (…) gdy świadek jest </w:t>
            </w:r>
            <w:r w:rsidRPr="00D128EF">
              <w:rPr>
                <w:rFonts w:ascii="Arial" w:hAnsi="Arial" w:cs="Arial"/>
                <w:bCs/>
                <w:strike/>
                <w:color w:val="FF0000"/>
                <w:spacing w:val="-2"/>
                <w:sz w:val="20"/>
                <w:szCs w:val="20"/>
              </w:rPr>
              <w:t xml:space="preserve">osobą podejrzaną </w:t>
            </w:r>
            <w:r w:rsidRPr="00FB4103">
              <w:rPr>
                <w:rFonts w:ascii="Arial" w:hAnsi="Arial" w:cs="Arial"/>
                <w:bCs/>
                <w:color w:val="002060"/>
                <w:spacing w:val="-2"/>
                <w:sz w:val="20"/>
                <w:szCs w:val="20"/>
              </w:rPr>
              <w:t xml:space="preserve">podejrzany </w:t>
            </w:r>
            <w:r w:rsidRPr="00D128EF">
              <w:rPr>
                <w:rFonts w:ascii="Arial" w:hAnsi="Arial" w:cs="Arial"/>
                <w:bCs/>
                <w:spacing w:val="-2"/>
                <w:sz w:val="20"/>
                <w:szCs w:val="20"/>
              </w:rPr>
              <w:t>o popełnienie przestępstwa będącego przedmiotem postępowania lub pozostającego w ścisłym związku z czynem stanowiącym przedmiot postępowania albo gdy za to przestępstwo został skazany;</w:t>
            </w:r>
          </w:p>
        </w:tc>
      </w:tr>
      <w:tr w:rsidR="00B93182" w:rsidRPr="00D128EF" w14:paraId="56B9DA4B" w14:textId="77777777" w:rsidTr="00522E6D">
        <w:tc>
          <w:tcPr>
            <w:tcW w:w="14029" w:type="dxa"/>
          </w:tcPr>
          <w:p w14:paraId="072B5FB2" w14:textId="2B17CA8D"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 xml:space="preserve">art. 198 § 1a. </w:t>
            </w:r>
            <w:r w:rsidRPr="00D128EF">
              <w:rPr>
                <w:rFonts w:ascii="Arial" w:hAnsi="Arial" w:cs="Arial"/>
                <w:bCs/>
                <w:spacing w:val="-2"/>
                <w:sz w:val="20"/>
                <w:szCs w:val="20"/>
              </w:rPr>
              <w:t xml:space="preserve">Jeżeli jest to niezbędne do wydania opinii, sąd lub prokurator udostępnia biegłemu poszczególne dokumenty z akt sprawy lub uwierzytelnione kopie tych dokumentów. Dokumenty mogą być również udostępnione w postaci elektronicznej. </w:t>
            </w:r>
            <w:r w:rsidRPr="00D128EF">
              <w:rPr>
                <w:rFonts w:ascii="Arial" w:hAnsi="Arial" w:cs="Arial"/>
                <w:bCs/>
                <w:strike/>
                <w:color w:val="FF0000"/>
                <w:spacing w:val="-2"/>
                <w:sz w:val="20"/>
                <w:szCs w:val="20"/>
              </w:rPr>
              <w:t xml:space="preserve">Biegłemu powołanemu z tego względu, że wydana przez innego </w:t>
            </w:r>
            <w:r w:rsidRPr="00D128EF">
              <w:rPr>
                <w:rFonts w:ascii="Arial" w:hAnsi="Arial" w:cs="Arial"/>
                <w:bCs/>
                <w:strike/>
                <w:color w:val="FF0000"/>
                <w:spacing w:val="-2"/>
                <w:sz w:val="20"/>
                <w:szCs w:val="20"/>
              </w:rPr>
              <w:lastRenderedPageBreak/>
              <w:t>biegłego opinia jest niepełna lub niejasna albo gdy zachodzi sprzeczność w niej samej lub między różnymi innymi opiniami w tej samej sprawie, przed wydaniem opinii nie udostępnia się tej innej opinii lub tych innych opinii. Inną opinię lub inne opinie można udostępnić biegłemu, w niezbędnym zakresie, tylko w wyjątkowym, szczególnie uzasadnionym wypadku, gdy przedmiot opinii powołanego biegłego bezpośrednio dotyczy treści tej innej opinii lub tych innych opinii.</w:t>
            </w:r>
          </w:p>
        </w:tc>
      </w:tr>
      <w:tr w:rsidR="00B93182" w:rsidRPr="00D128EF" w14:paraId="40C26095" w14:textId="77777777" w:rsidTr="00522E6D">
        <w:tc>
          <w:tcPr>
            <w:tcW w:w="14029" w:type="dxa"/>
          </w:tcPr>
          <w:p w14:paraId="60ADFD7C" w14:textId="4D49B74F" w:rsidR="00B93182" w:rsidRPr="008923A3" w:rsidRDefault="008923A3" w:rsidP="00F66CAB">
            <w:pPr>
              <w:ind w:firstLine="0"/>
              <w:jc w:val="left"/>
              <w:rPr>
                <w:rFonts w:ascii="Arial" w:hAnsi="Arial" w:cs="Arial"/>
                <w:bCs/>
                <w:color w:val="1F3864" w:themeColor="accent5" w:themeShade="80"/>
                <w:spacing w:val="-2"/>
                <w:sz w:val="20"/>
                <w:szCs w:val="20"/>
              </w:rPr>
            </w:pPr>
            <w:r w:rsidRPr="008923A3">
              <w:rPr>
                <w:rFonts w:ascii="Arial" w:hAnsi="Arial" w:cs="Arial"/>
                <w:b/>
                <w:color w:val="1F3864" w:themeColor="accent5" w:themeShade="80"/>
                <w:spacing w:val="-2"/>
                <w:sz w:val="20"/>
                <w:szCs w:val="20"/>
              </w:rPr>
              <w:lastRenderedPageBreak/>
              <w:t>A</w:t>
            </w:r>
            <w:r w:rsidR="00B93182" w:rsidRPr="008923A3">
              <w:rPr>
                <w:rFonts w:ascii="Arial" w:hAnsi="Arial" w:cs="Arial"/>
                <w:b/>
                <w:color w:val="1F3864" w:themeColor="accent5" w:themeShade="80"/>
                <w:spacing w:val="-2"/>
                <w:sz w:val="20"/>
                <w:szCs w:val="20"/>
              </w:rPr>
              <w:t xml:space="preserve">rt. 198 § 1a. </w:t>
            </w:r>
            <w:r w:rsidR="00B93182" w:rsidRPr="008923A3">
              <w:rPr>
                <w:rFonts w:ascii="Arial" w:hAnsi="Arial" w:cs="Arial"/>
                <w:bCs/>
                <w:color w:val="1F3864" w:themeColor="accent5" w:themeShade="80"/>
                <w:spacing w:val="-2"/>
                <w:sz w:val="20"/>
                <w:szCs w:val="20"/>
              </w:rPr>
              <w:t>W wypadku udostępnienia biegłemu dokumentów z akt sprawy, również w postaci elektronicznej, lub uwierzytelnionych kopii tych dokumentów, o których mowa w § 1, sporządza się w formie notatki urzędowej wykaz dokumentów, których oryginały, postać elektroniczna lub uwierzytelnione kopie zostały przed wydaniem opinii udostępnione biegłemu. Notatka powinna być podpisana przez osobę sporządzającą z podaniem imienia, nazwiska i stanowiska służbowego oraz załączona do akt sprawy.</w:t>
            </w:r>
          </w:p>
        </w:tc>
      </w:tr>
      <w:tr w:rsidR="00B93182" w:rsidRPr="00D128EF" w14:paraId="73D85D82" w14:textId="77777777" w:rsidTr="00522E6D">
        <w:tc>
          <w:tcPr>
            <w:tcW w:w="14029" w:type="dxa"/>
          </w:tcPr>
          <w:p w14:paraId="7632BAB5" w14:textId="148E0720"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Art. 210.</w:t>
            </w:r>
            <w:r w:rsidRPr="00D128EF">
              <w:rPr>
                <w:rFonts w:ascii="Arial" w:hAnsi="Arial" w:cs="Arial"/>
                <w:bCs/>
                <w:sz w:val="20"/>
                <w:szCs w:val="20"/>
              </w:rPr>
              <w:t xml:space="preserve"> </w:t>
            </w:r>
            <w:r w:rsidRPr="00D128EF">
              <w:rPr>
                <w:rFonts w:ascii="Arial" w:hAnsi="Arial" w:cs="Arial"/>
                <w:bCs/>
                <w:spacing w:val="-2"/>
                <w:sz w:val="20"/>
                <w:szCs w:val="20"/>
              </w:rPr>
              <w:t>W celu dokonania oględzin lub otwarcia zwłok prokurator albo sąd może zarządzić wyjęcie zwłok z grobu.</w:t>
            </w:r>
            <w:r w:rsidRPr="00D128EF">
              <w:rPr>
                <w:rFonts w:ascii="Arial" w:hAnsi="Arial" w:cs="Arial"/>
                <w:b/>
                <w:color w:val="0070C0"/>
                <w:spacing w:val="-2"/>
                <w:sz w:val="20"/>
                <w:szCs w:val="20"/>
              </w:rPr>
              <w:t xml:space="preserve"> </w:t>
            </w:r>
            <w:r w:rsidRPr="00D128EF">
              <w:rPr>
                <w:rFonts w:ascii="Arial" w:hAnsi="Arial" w:cs="Arial"/>
                <w:bCs/>
                <w:color w:val="1F3864" w:themeColor="accent5" w:themeShade="80"/>
                <w:spacing w:val="-2"/>
                <w:sz w:val="20"/>
                <w:szCs w:val="20"/>
              </w:rPr>
              <w:t>Na postanowienie w przedmiocie wyjęcia zwłok z grobu przysługuje zażalenie osobom najbliższym zmarłego. Złożenie zażalenia wstrzymuje wykonanie postanowienia. Sąd rozpoznaje zażalenie niezwłocznie, nie później niż przed upływem 7 dni od przekazania sądowi zażalenia wraz z niezbędnymi aktami. Art. 52 § 2 stosuje się odpowiednio.</w:t>
            </w:r>
          </w:p>
        </w:tc>
      </w:tr>
      <w:tr w:rsidR="00B93182" w:rsidRPr="00D128EF" w14:paraId="66FC4E93" w14:textId="77777777" w:rsidTr="00522E6D">
        <w:tc>
          <w:tcPr>
            <w:tcW w:w="14029" w:type="dxa"/>
          </w:tcPr>
          <w:p w14:paraId="3D5CEED2" w14:textId="402BF54F" w:rsidR="00B93182" w:rsidRPr="00D128EF" w:rsidRDefault="00B93182" w:rsidP="00F66CAB">
            <w:pPr>
              <w:ind w:firstLine="0"/>
              <w:jc w:val="left"/>
              <w:rPr>
                <w:rFonts w:ascii="Arial" w:hAnsi="Arial" w:cs="Arial"/>
                <w:b/>
                <w:spacing w:val="-2"/>
                <w:sz w:val="20"/>
                <w:szCs w:val="20"/>
              </w:rPr>
            </w:pPr>
            <w:r w:rsidRPr="00D128EF">
              <w:rPr>
                <w:rFonts w:ascii="Arial" w:hAnsi="Arial" w:cs="Arial"/>
                <w:b/>
                <w:spacing w:val="-2"/>
                <w:sz w:val="20"/>
                <w:szCs w:val="20"/>
              </w:rPr>
              <w:t>Art. 219 § 1.</w:t>
            </w:r>
            <w:r w:rsidRPr="00D128EF">
              <w:rPr>
                <w:rFonts w:ascii="Arial" w:hAnsi="Arial" w:cs="Arial"/>
                <w:bCs/>
                <w:spacing w:val="-2"/>
                <w:sz w:val="20"/>
                <w:szCs w:val="20"/>
              </w:rPr>
              <w:t xml:space="preserve"> W celu wykrycia lub zatrzymania albo przymusowego doprowadzenia osoby </w:t>
            </w:r>
            <w:r w:rsidRPr="00D128EF">
              <w:rPr>
                <w:rFonts w:ascii="Arial" w:hAnsi="Arial" w:cs="Arial"/>
                <w:bCs/>
                <w:strike/>
                <w:color w:val="FF0000"/>
                <w:spacing w:val="-2"/>
                <w:sz w:val="20"/>
                <w:szCs w:val="20"/>
              </w:rPr>
              <w:t>podejrzanej,</w:t>
            </w:r>
            <w:r w:rsidRPr="00D128EF">
              <w:rPr>
                <w:rFonts w:ascii="Arial" w:hAnsi="Arial" w:cs="Arial"/>
                <w:bCs/>
                <w:color w:val="FF0000"/>
                <w:spacing w:val="-2"/>
                <w:sz w:val="20"/>
                <w:szCs w:val="20"/>
              </w:rPr>
              <w:t xml:space="preserve"> </w:t>
            </w:r>
            <w:r w:rsidRPr="00D128EF">
              <w:rPr>
                <w:rFonts w:ascii="Arial" w:hAnsi="Arial" w:cs="Arial"/>
                <w:bCs/>
                <w:color w:val="1F3864" w:themeColor="accent5" w:themeShade="80"/>
                <w:spacing w:val="-2"/>
                <w:sz w:val="20"/>
                <w:szCs w:val="20"/>
              </w:rPr>
              <w:t xml:space="preserve">co do której istnieje uzasadnione podejrzenie popełnienia przez nią przestępstwa </w:t>
            </w:r>
            <w:r w:rsidRPr="00D128EF">
              <w:rPr>
                <w:rFonts w:ascii="Arial" w:hAnsi="Arial" w:cs="Arial"/>
                <w:bCs/>
                <w:spacing w:val="-2"/>
                <w:sz w:val="20"/>
                <w:szCs w:val="20"/>
              </w:rPr>
              <w:t xml:space="preserve">a także w celu znalezienia rzeczy mogących stanowić dowód w sprawie lub podlegających zajęciu w postępowaniu karnym, można dokonać przeszukania pomieszczeń i innych miejsc, jeżeli istnieją uzasadnione podstawy do przypuszczenia, że osoba </w:t>
            </w:r>
            <w:r w:rsidRPr="00D128EF">
              <w:rPr>
                <w:rFonts w:ascii="Arial" w:hAnsi="Arial" w:cs="Arial"/>
                <w:bCs/>
                <w:strike/>
                <w:color w:val="FF0000"/>
                <w:spacing w:val="-2"/>
                <w:sz w:val="20"/>
                <w:szCs w:val="20"/>
              </w:rPr>
              <w:t>podejrzana</w:t>
            </w:r>
            <w:r w:rsidRPr="00D128EF">
              <w:rPr>
                <w:rFonts w:ascii="Arial" w:hAnsi="Arial" w:cs="Arial"/>
                <w:bCs/>
                <w:color w:val="FF0000"/>
                <w:spacing w:val="-2"/>
                <w:sz w:val="20"/>
                <w:szCs w:val="20"/>
              </w:rPr>
              <w:t xml:space="preserve"> </w:t>
            </w:r>
            <w:r w:rsidRPr="00D128EF">
              <w:rPr>
                <w:rFonts w:ascii="Arial" w:hAnsi="Arial" w:cs="Arial"/>
                <w:bCs/>
                <w:spacing w:val="-2"/>
                <w:sz w:val="20"/>
                <w:szCs w:val="20"/>
              </w:rPr>
              <w:t>lub wymienione rzeczy tam się znajdują.</w:t>
            </w:r>
          </w:p>
        </w:tc>
      </w:tr>
      <w:tr w:rsidR="00B93182" w:rsidRPr="00D128EF" w14:paraId="02641897" w14:textId="77777777" w:rsidTr="00522E6D">
        <w:tc>
          <w:tcPr>
            <w:tcW w:w="14029" w:type="dxa"/>
          </w:tcPr>
          <w:p w14:paraId="16D918B5" w14:textId="65473413"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225 § 2. </w:t>
            </w:r>
            <w:r w:rsidRPr="00D128EF">
              <w:rPr>
                <w:rFonts w:ascii="Arial" w:hAnsi="Arial" w:cs="Arial"/>
                <w:bCs/>
                <w:spacing w:val="-2"/>
                <w:sz w:val="20"/>
                <w:szCs w:val="20"/>
              </w:rPr>
              <w:t xml:space="preserve">Tryb wskazany w § 1 nie obowiązuje w stosunku do pism lub innych dokumentów, które zawierają informacje niejawne o klauzuli "zastrzeżone" lub "poufne" albo dotyczą tajemnicy zawodowej lub innej tajemnicy prawnie chronionej, jeżeli ich posiadaczem jest </w:t>
            </w:r>
            <w:r w:rsidRPr="00D128EF">
              <w:rPr>
                <w:rFonts w:ascii="Arial" w:hAnsi="Arial" w:cs="Arial"/>
                <w:bCs/>
                <w:strike/>
                <w:color w:val="FF0000"/>
                <w:spacing w:val="-2"/>
                <w:sz w:val="20"/>
                <w:szCs w:val="20"/>
              </w:rPr>
              <w:t>osoba podejrzana</w:t>
            </w:r>
            <w:r w:rsidRPr="00D128EF">
              <w:rPr>
                <w:rFonts w:ascii="Arial" w:hAnsi="Arial" w:cs="Arial"/>
                <w:bCs/>
                <w:color w:val="FF0000"/>
                <w:spacing w:val="-2"/>
                <w:sz w:val="20"/>
                <w:szCs w:val="20"/>
              </w:rPr>
              <w:t xml:space="preserve"> </w:t>
            </w:r>
            <w:r w:rsidRPr="00FB4103">
              <w:rPr>
                <w:rFonts w:ascii="Arial" w:hAnsi="Arial" w:cs="Arial"/>
                <w:bCs/>
                <w:color w:val="1F3864" w:themeColor="accent5" w:themeShade="80"/>
                <w:spacing w:val="-2"/>
                <w:sz w:val="20"/>
                <w:szCs w:val="20"/>
              </w:rPr>
              <w:t>oskarżony</w:t>
            </w:r>
            <w:r w:rsidRPr="00D128EF">
              <w:rPr>
                <w:rFonts w:ascii="Arial" w:hAnsi="Arial" w:cs="Arial"/>
                <w:bCs/>
                <w:color w:val="1F3864" w:themeColor="accent5" w:themeShade="80"/>
                <w:spacing w:val="-2"/>
                <w:sz w:val="20"/>
                <w:szCs w:val="20"/>
              </w:rPr>
              <w:t xml:space="preserve"> </w:t>
            </w:r>
            <w:r w:rsidRPr="00D128EF">
              <w:rPr>
                <w:rFonts w:ascii="Arial" w:hAnsi="Arial" w:cs="Arial"/>
                <w:bCs/>
                <w:spacing w:val="-2"/>
                <w:sz w:val="20"/>
                <w:szCs w:val="20"/>
              </w:rPr>
              <w:t>o popełnienie przestępstwa, ani w stosunku do pism lub innych dokumentów o charakterze osobistym, których jest ona posiadaczem, autorem lub adresatem.</w:t>
            </w:r>
          </w:p>
        </w:tc>
      </w:tr>
      <w:tr w:rsidR="00C1197D" w:rsidRPr="00D128EF" w14:paraId="4373012C" w14:textId="77777777" w:rsidTr="00522E6D">
        <w:tc>
          <w:tcPr>
            <w:tcW w:w="14029" w:type="dxa"/>
          </w:tcPr>
          <w:p w14:paraId="1D96F649" w14:textId="51B231D4" w:rsidR="00C1197D" w:rsidRPr="00D128EF" w:rsidRDefault="00C1197D" w:rsidP="00C1197D">
            <w:pPr>
              <w:ind w:firstLine="0"/>
              <w:jc w:val="left"/>
              <w:rPr>
                <w:rFonts w:ascii="Arial" w:hAnsi="Arial" w:cs="Arial"/>
                <w:bCs/>
                <w:spacing w:val="-2"/>
                <w:sz w:val="20"/>
                <w:szCs w:val="20"/>
              </w:rPr>
            </w:pPr>
            <w:r w:rsidRPr="00D128EF">
              <w:rPr>
                <w:rFonts w:ascii="Arial" w:hAnsi="Arial" w:cs="Arial"/>
                <w:b/>
                <w:spacing w:val="-2"/>
                <w:sz w:val="20"/>
                <w:szCs w:val="20"/>
              </w:rPr>
              <w:t>Art. 237§ 4.</w:t>
            </w:r>
            <w:r w:rsidRPr="00D128EF">
              <w:rPr>
                <w:rFonts w:ascii="Arial" w:hAnsi="Arial" w:cs="Arial"/>
                <w:bCs/>
                <w:spacing w:val="-2"/>
                <w:sz w:val="20"/>
                <w:szCs w:val="20"/>
              </w:rPr>
              <w:t xml:space="preserve"> Kontrola i utrwalanie treści rozmów telefonicznych są dopuszczalne w stosunku do  osoby </w:t>
            </w:r>
            <w:r w:rsidRPr="00D128EF">
              <w:rPr>
                <w:rFonts w:ascii="Arial" w:hAnsi="Arial" w:cs="Arial"/>
                <w:bCs/>
                <w:strike/>
                <w:color w:val="FF0000"/>
                <w:spacing w:val="-2"/>
                <w:sz w:val="20"/>
                <w:szCs w:val="20"/>
              </w:rPr>
              <w:t>podejrzanej</w:t>
            </w:r>
            <w:r w:rsidRPr="00D128EF">
              <w:rPr>
                <w:rFonts w:ascii="Arial" w:hAnsi="Arial" w:cs="Arial"/>
                <w:bCs/>
                <w:spacing w:val="-2"/>
                <w:sz w:val="20"/>
                <w:szCs w:val="20"/>
              </w:rPr>
              <w:t>, co do której istnieje uzasadnione podejrzenie popełnienia przez nią przestępstwa, oskarżonego oraz w stosunku do pokrzywdzonego lub innej osoby, z którą może się kontaktować oskarżony albo która może mieć związek ze sprawcą lub z grożącym przestępstwem.</w:t>
            </w:r>
          </w:p>
        </w:tc>
      </w:tr>
      <w:tr w:rsidR="00F66CAB" w:rsidRPr="00D128EF" w14:paraId="533B7FA9" w14:textId="77777777" w:rsidTr="00522E6D">
        <w:tc>
          <w:tcPr>
            <w:tcW w:w="14029" w:type="dxa"/>
          </w:tcPr>
          <w:p w14:paraId="40E2AE0A" w14:textId="3DA4D5C0" w:rsidR="00F66CAB" w:rsidRPr="00FB4103" w:rsidRDefault="00C1197D" w:rsidP="00F66CAB">
            <w:pPr>
              <w:ind w:firstLine="0"/>
              <w:jc w:val="left"/>
              <w:rPr>
                <w:rFonts w:ascii="Arial" w:hAnsi="Arial" w:cs="Arial"/>
                <w:bCs/>
                <w:color w:val="002060"/>
                <w:spacing w:val="-2"/>
                <w:sz w:val="20"/>
                <w:szCs w:val="20"/>
              </w:rPr>
            </w:pPr>
            <w:r w:rsidRPr="00FB4103">
              <w:rPr>
                <w:rFonts w:ascii="Arial" w:hAnsi="Arial" w:cs="Arial"/>
                <w:b/>
                <w:color w:val="002060"/>
                <w:spacing w:val="-2"/>
                <w:sz w:val="20"/>
                <w:szCs w:val="20"/>
              </w:rPr>
              <w:t>Art. 237§ 9.</w:t>
            </w:r>
            <w:r w:rsidRPr="00FB4103">
              <w:rPr>
                <w:rFonts w:ascii="Arial" w:hAnsi="Arial" w:cs="Arial"/>
                <w:bCs/>
                <w:color w:val="002060"/>
                <w:spacing w:val="-2"/>
                <w:sz w:val="20"/>
                <w:szCs w:val="20"/>
              </w:rPr>
              <w:t xml:space="preserve"> Wykorzystanie dowodu uzyskanego podczas kontroli i utrwalania treści rozmów telefonicznych jest dopuszczalne wyłącznie w postępowaniu karnym w sprawie o przestępstwo lub przestępstwo skarbowe, w stosunku do którego jest możliwe zarządzenie takiej kontroli.</w:t>
            </w:r>
          </w:p>
        </w:tc>
      </w:tr>
      <w:tr w:rsidR="002340A3" w:rsidRPr="00D128EF" w14:paraId="7301BE09" w14:textId="77777777" w:rsidTr="00522E6D">
        <w:tc>
          <w:tcPr>
            <w:tcW w:w="14029" w:type="dxa"/>
          </w:tcPr>
          <w:p w14:paraId="1F37B9F6" w14:textId="77777777" w:rsidR="007401D5" w:rsidRPr="00D128EF" w:rsidRDefault="007401D5" w:rsidP="007401D5">
            <w:pPr>
              <w:ind w:firstLine="0"/>
              <w:rPr>
                <w:rFonts w:ascii="Arial" w:hAnsi="Arial" w:cs="Arial"/>
                <w:b/>
                <w:color w:val="002060"/>
                <w:spacing w:val="-2"/>
                <w:sz w:val="20"/>
                <w:szCs w:val="20"/>
              </w:rPr>
            </w:pPr>
            <w:r w:rsidRPr="00D128EF">
              <w:rPr>
                <w:rFonts w:ascii="Arial" w:hAnsi="Arial" w:cs="Arial"/>
                <w:b/>
                <w:spacing w:val="-2"/>
                <w:sz w:val="20"/>
                <w:szCs w:val="20"/>
              </w:rPr>
              <w:t>Art. 237a. § 1.</w:t>
            </w:r>
            <w:r w:rsidRPr="00D128EF">
              <w:rPr>
                <w:rFonts w:ascii="Arial" w:hAnsi="Arial" w:cs="Arial"/>
                <w:bCs/>
                <w:color w:val="002060"/>
                <w:spacing w:val="-2"/>
                <w:sz w:val="20"/>
                <w:szCs w:val="20"/>
              </w:rPr>
              <w:t xml:space="preserve"> </w:t>
            </w:r>
            <w:r w:rsidRPr="00D128EF">
              <w:rPr>
                <w:rFonts w:ascii="Arial" w:hAnsi="Arial" w:cs="Arial"/>
                <w:bCs/>
                <w:spacing w:val="-2"/>
                <w:sz w:val="20"/>
                <w:szCs w:val="20"/>
              </w:rPr>
              <w:t>Jeżeli w wyniku kontroli i utrwalania rozmów, uzyskano dowód popełnienia przez osobę, wobec której kontrola była stosowana, innego przestępstwa lub przestępstwa skarbowego niż przestępstwo objęte zarządzeniem kontroli bądź przestępstwa lub przestępstwa skarbowego popełnionego przez inną osobę niż objęta zarządzeniem kontroli, prokurator w toku postępowania przygotowawczego wydaje postanowienie w przedmiocie wykorzystania tego dowodu w postępowaniu karnym.</w:t>
            </w:r>
            <w:r w:rsidRPr="00D128EF">
              <w:rPr>
                <w:rFonts w:ascii="Arial" w:hAnsi="Arial" w:cs="Arial"/>
                <w:b/>
                <w:spacing w:val="-2"/>
                <w:sz w:val="20"/>
                <w:szCs w:val="20"/>
              </w:rPr>
              <w:t xml:space="preserve"> </w:t>
            </w:r>
            <w:r w:rsidRPr="00FB4103">
              <w:rPr>
                <w:rFonts w:ascii="Arial" w:hAnsi="Arial" w:cs="Arial"/>
                <w:bCs/>
                <w:color w:val="002060"/>
                <w:spacing w:val="-2"/>
                <w:sz w:val="20"/>
                <w:szCs w:val="20"/>
              </w:rPr>
              <w:t>W postanowieniu należy określić wobec jakiej osoby i co do jakich przestępstw lub przestępstw skarbowych dopuszcza się dowodowe wykorzystanie tych materiałów.</w:t>
            </w:r>
          </w:p>
          <w:p w14:paraId="32E76B07" w14:textId="37E5D5A7" w:rsidR="007401D5" w:rsidRPr="00D128EF" w:rsidRDefault="007401D5" w:rsidP="007401D5">
            <w:pPr>
              <w:ind w:firstLine="0"/>
              <w:rPr>
                <w:rFonts w:ascii="Arial" w:hAnsi="Arial" w:cs="Arial"/>
                <w:b/>
                <w:color w:val="002060"/>
                <w:spacing w:val="-2"/>
                <w:sz w:val="20"/>
                <w:szCs w:val="20"/>
              </w:rPr>
            </w:pPr>
            <w:r w:rsidRPr="00D128EF">
              <w:rPr>
                <w:rFonts w:ascii="Arial" w:hAnsi="Arial" w:cs="Arial"/>
                <w:bCs/>
                <w:spacing w:val="-2"/>
                <w:sz w:val="20"/>
                <w:szCs w:val="20"/>
              </w:rPr>
              <w:t>§ 2. Osobę, której dotyczy postanowienie należy zawiadomić o jego treści, nie później niż do czasu zakończenia postępowania przygotowawczego</w:t>
            </w:r>
          </w:p>
        </w:tc>
      </w:tr>
      <w:tr w:rsidR="002340A3" w:rsidRPr="00D128EF" w14:paraId="7BF9F2A4" w14:textId="77777777" w:rsidTr="00522E6D">
        <w:tc>
          <w:tcPr>
            <w:tcW w:w="14029" w:type="dxa"/>
          </w:tcPr>
          <w:p w14:paraId="681B5788" w14:textId="062FB858" w:rsidR="002340A3" w:rsidRPr="00D128EF" w:rsidRDefault="007401D5" w:rsidP="00F66CAB">
            <w:pPr>
              <w:ind w:firstLine="0"/>
              <w:jc w:val="left"/>
              <w:rPr>
                <w:rFonts w:ascii="Arial" w:hAnsi="Arial" w:cs="Arial"/>
                <w:bCs/>
                <w:spacing w:val="-2"/>
                <w:sz w:val="20"/>
                <w:szCs w:val="20"/>
              </w:rPr>
            </w:pPr>
            <w:r w:rsidRPr="00D128EF">
              <w:rPr>
                <w:rFonts w:ascii="Arial" w:hAnsi="Arial" w:cs="Arial"/>
                <w:b/>
                <w:spacing w:val="-2"/>
                <w:sz w:val="20"/>
                <w:szCs w:val="20"/>
              </w:rPr>
              <w:t>Art. 238 § 4.</w:t>
            </w:r>
            <w:r w:rsidRPr="00D128EF">
              <w:rPr>
                <w:rFonts w:ascii="Arial" w:hAnsi="Arial" w:cs="Arial"/>
                <w:bCs/>
                <w:spacing w:val="-2"/>
                <w:sz w:val="20"/>
                <w:szCs w:val="20"/>
              </w:rPr>
              <w:t xml:space="preserve"> Po zakończeniu postępowania przygotowawczego prokurator wnosi o zarządzenie zniszczenia utrwalonych zapisów w części, w jakiej nie mają znaczenia dla postępowania karnego, w którym zarządzono kontrolę i utrwalanie rozmów telefonicznych, oraz nie stanowią dowodu, o którym mowa w art. </w:t>
            </w:r>
            <w:r w:rsidRPr="00D128EF">
              <w:rPr>
                <w:rFonts w:ascii="Arial" w:hAnsi="Arial" w:cs="Arial"/>
                <w:bCs/>
                <w:strike/>
                <w:color w:val="FF0000"/>
                <w:spacing w:val="-2"/>
                <w:sz w:val="20"/>
                <w:szCs w:val="20"/>
              </w:rPr>
              <w:t>237a</w:t>
            </w:r>
            <w:r w:rsidRPr="00D128EF">
              <w:rPr>
                <w:rFonts w:ascii="Arial" w:hAnsi="Arial" w:cs="Arial"/>
                <w:bCs/>
                <w:color w:val="FF0000"/>
                <w:spacing w:val="-2"/>
                <w:sz w:val="20"/>
                <w:szCs w:val="20"/>
              </w:rPr>
              <w:t>.</w:t>
            </w:r>
          </w:p>
        </w:tc>
      </w:tr>
      <w:tr w:rsidR="007401D5" w:rsidRPr="00D128EF" w14:paraId="5F30840C" w14:textId="77777777" w:rsidTr="00522E6D">
        <w:tc>
          <w:tcPr>
            <w:tcW w:w="14029" w:type="dxa"/>
          </w:tcPr>
          <w:p w14:paraId="69254752" w14:textId="70D56BA3" w:rsidR="007401D5" w:rsidRPr="00D128EF" w:rsidRDefault="007401D5" w:rsidP="007401D5">
            <w:pPr>
              <w:ind w:firstLine="0"/>
              <w:jc w:val="left"/>
              <w:rPr>
                <w:rFonts w:ascii="Arial" w:hAnsi="Arial" w:cs="Arial"/>
                <w:spacing w:val="-2"/>
                <w:sz w:val="20"/>
                <w:szCs w:val="20"/>
              </w:rPr>
            </w:pPr>
            <w:r w:rsidRPr="00D128EF">
              <w:rPr>
                <w:rFonts w:ascii="Arial" w:hAnsi="Arial" w:cs="Arial"/>
                <w:b/>
                <w:bCs/>
                <w:spacing w:val="-2"/>
                <w:sz w:val="20"/>
                <w:szCs w:val="20"/>
              </w:rPr>
              <w:t>Art.  244.  </w:t>
            </w:r>
            <w:r w:rsidRPr="00D128EF">
              <w:rPr>
                <w:rFonts w:ascii="Arial" w:hAnsi="Arial" w:cs="Arial"/>
                <w:spacing w:val="-2"/>
                <w:sz w:val="20"/>
                <w:szCs w:val="20"/>
              </w:rPr>
              <w:t xml:space="preserve">§  1. Policja ma prawo zatrzymać osobę </w:t>
            </w:r>
            <w:r w:rsidRPr="00D128EF">
              <w:rPr>
                <w:rFonts w:ascii="Arial" w:hAnsi="Arial" w:cs="Arial"/>
                <w:strike/>
                <w:color w:val="FF0000"/>
                <w:spacing w:val="-2"/>
                <w:sz w:val="20"/>
                <w:szCs w:val="20"/>
              </w:rPr>
              <w:t>podejrzaną</w:t>
            </w:r>
            <w:r w:rsidRPr="00D128EF">
              <w:rPr>
                <w:rFonts w:ascii="Arial" w:hAnsi="Arial" w:cs="Arial"/>
                <w:spacing w:val="-2"/>
                <w:sz w:val="20"/>
                <w:szCs w:val="20"/>
              </w:rPr>
              <w:t>, jeżeli istnieje uzasadnione przypuszczenie, że popełniła ona przestępstwo, a zachodzi obawa ucieczki lub ukrycia się tej osoby albo zatarcia śladów przestępstwa bądź też nie można ustalić jej tożsamości albo istnieją przesłanki do przeprowadzenia przeciwko tej osobie postępowania w trybie przyspieszonym.</w:t>
            </w:r>
          </w:p>
          <w:p w14:paraId="3CAF5693" w14:textId="019B574E" w:rsidR="007401D5" w:rsidRPr="00D128EF" w:rsidRDefault="007401D5" w:rsidP="007401D5">
            <w:pPr>
              <w:ind w:firstLine="0"/>
              <w:jc w:val="left"/>
              <w:rPr>
                <w:rFonts w:ascii="Arial" w:hAnsi="Arial" w:cs="Arial"/>
                <w:spacing w:val="-2"/>
                <w:sz w:val="20"/>
                <w:szCs w:val="20"/>
              </w:rPr>
            </w:pPr>
            <w:r w:rsidRPr="00D128EF">
              <w:rPr>
                <w:rFonts w:ascii="Arial" w:hAnsi="Arial" w:cs="Arial"/>
                <w:spacing w:val="-2"/>
                <w:sz w:val="20"/>
                <w:szCs w:val="20"/>
              </w:rPr>
              <w:t xml:space="preserve">§  1a. Policja ma prawo zatrzymać osobę </w:t>
            </w:r>
            <w:r w:rsidRPr="00D128EF">
              <w:rPr>
                <w:rFonts w:ascii="Arial" w:hAnsi="Arial" w:cs="Arial"/>
                <w:strike/>
                <w:color w:val="FF0000"/>
                <w:spacing w:val="-2"/>
                <w:sz w:val="20"/>
                <w:szCs w:val="20"/>
              </w:rPr>
              <w:t>podejrzaną</w:t>
            </w:r>
            <w:r w:rsidRPr="00D128EF">
              <w:rPr>
                <w:rFonts w:ascii="Arial" w:hAnsi="Arial" w:cs="Arial"/>
                <w:spacing w:val="-2"/>
                <w:sz w:val="20"/>
                <w:szCs w:val="20"/>
              </w:rPr>
              <w:t>, jeżeli istnieje uzasadnione przypuszczenie, że popełniła ona przestępstwo z użyciem przemocy na szkodę osoby wspólnie zamieszkującej, a zachodzi obawa, że ponownie popełni przestępstwo z użyciem przemocy wobec tej osoby, zwłaszcza gdy popełnieniem takiego przestępstwa grozi.</w:t>
            </w:r>
          </w:p>
          <w:p w14:paraId="62BE4852" w14:textId="72BAC16D" w:rsidR="007401D5" w:rsidRPr="00D128EF" w:rsidRDefault="007401D5" w:rsidP="007401D5">
            <w:pPr>
              <w:ind w:firstLine="0"/>
              <w:jc w:val="left"/>
              <w:rPr>
                <w:rFonts w:ascii="Arial" w:hAnsi="Arial" w:cs="Arial"/>
                <w:spacing w:val="-2"/>
                <w:sz w:val="20"/>
                <w:szCs w:val="20"/>
              </w:rPr>
            </w:pPr>
            <w:r w:rsidRPr="00D128EF">
              <w:rPr>
                <w:rFonts w:ascii="Arial" w:hAnsi="Arial" w:cs="Arial"/>
                <w:spacing w:val="-2"/>
                <w:sz w:val="20"/>
                <w:szCs w:val="20"/>
              </w:rPr>
              <w:t xml:space="preserve">§  1b. Policja zatrzymuje osobę </w:t>
            </w:r>
            <w:r w:rsidRPr="00D128EF">
              <w:rPr>
                <w:rFonts w:ascii="Arial" w:hAnsi="Arial" w:cs="Arial"/>
                <w:strike/>
                <w:color w:val="FF0000"/>
                <w:spacing w:val="-2"/>
                <w:sz w:val="20"/>
                <w:szCs w:val="20"/>
              </w:rPr>
              <w:t>podejrzaną</w:t>
            </w:r>
            <w:r w:rsidRPr="00D128EF">
              <w:rPr>
                <w:rFonts w:ascii="Arial" w:hAnsi="Arial" w:cs="Arial"/>
                <w:spacing w:val="-2"/>
                <w:sz w:val="20"/>
                <w:szCs w:val="20"/>
              </w:rPr>
              <w:t>, jeśli przestępstwo, o którym mowa w § 1a, zostało popełnione przy użyciu broni palnej, noża lub innego niebezpiecznego przedmiotu, a zachodzi obawa, że ponownie popełni ona przestępstwo z użyciem przemocy wobec osoby wspólnie zamieszkującej, zwłaszcza gdy popełnieniem takiego przestępstwa grozi.</w:t>
            </w:r>
          </w:p>
          <w:p w14:paraId="69E1A754" w14:textId="72F62445" w:rsidR="007401D5" w:rsidRPr="00D128EF" w:rsidRDefault="007401D5" w:rsidP="007401D5">
            <w:pPr>
              <w:ind w:firstLine="0"/>
              <w:jc w:val="left"/>
              <w:rPr>
                <w:rFonts w:ascii="Arial" w:hAnsi="Arial" w:cs="Arial"/>
                <w:spacing w:val="-2"/>
                <w:sz w:val="20"/>
                <w:szCs w:val="20"/>
              </w:rPr>
            </w:pPr>
            <w:r w:rsidRPr="00D128EF">
              <w:rPr>
                <w:rFonts w:ascii="Arial" w:hAnsi="Arial" w:cs="Arial"/>
                <w:spacing w:val="-2"/>
                <w:sz w:val="20"/>
                <w:szCs w:val="20"/>
              </w:rPr>
              <w:t xml:space="preserve">§  2. Zatrzymanego należy natychmiast poinformować o przyczynach zatrzymania i o przysługujących mu prawach, w tym o prawie do skorzystania z pomocy </w:t>
            </w:r>
            <w:r w:rsidRPr="00D128EF">
              <w:rPr>
                <w:rFonts w:ascii="Arial" w:hAnsi="Arial" w:cs="Arial"/>
                <w:strike/>
                <w:color w:val="FF0000"/>
                <w:spacing w:val="-2"/>
                <w:sz w:val="20"/>
                <w:szCs w:val="20"/>
              </w:rPr>
              <w:t>adwokata lub radcy prawnego</w:t>
            </w:r>
            <w:r w:rsidR="00574461" w:rsidRPr="00D128EF">
              <w:rPr>
                <w:rFonts w:ascii="Arial" w:hAnsi="Arial" w:cs="Arial"/>
                <w:color w:val="FF0000"/>
                <w:spacing w:val="-2"/>
                <w:sz w:val="20"/>
                <w:szCs w:val="20"/>
              </w:rPr>
              <w:t xml:space="preserve"> </w:t>
            </w:r>
            <w:r w:rsidR="00574461" w:rsidRPr="00D128EF">
              <w:rPr>
                <w:rFonts w:ascii="Arial" w:hAnsi="Arial" w:cs="Arial"/>
                <w:color w:val="002060"/>
                <w:spacing w:val="-2"/>
                <w:sz w:val="20"/>
                <w:szCs w:val="20"/>
              </w:rPr>
              <w:t>obrońcy</w:t>
            </w:r>
            <w:r w:rsidRPr="00D128EF">
              <w:rPr>
                <w:rFonts w:ascii="Arial" w:hAnsi="Arial" w:cs="Arial"/>
                <w:spacing w:val="-2"/>
                <w:sz w:val="20"/>
                <w:szCs w:val="20"/>
              </w:rPr>
              <w:t xml:space="preserve">, do korzystania z bezpłatnej pomocy tłumacza, jeżeli nie włada w wystarczającym stopniu językiem polskim, do złożenia </w:t>
            </w:r>
            <w:r w:rsidRPr="00D128EF">
              <w:rPr>
                <w:rFonts w:ascii="Arial" w:hAnsi="Arial" w:cs="Arial"/>
                <w:spacing w:val="-2"/>
                <w:sz w:val="20"/>
                <w:szCs w:val="20"/>
              </w:rPr>
              <w:lastRenderedPageBreak/>
              <w:t>oświadczenia i odmowy złożenia oświadczenia, do otrzymania odpisu protokołu zatrzymania, do dostępu do pierwszej pomocy medycznej oraz o prawach wskazanych w art. 245, art. 246 § 1 i art. 612 § 2, jak również o treści art. 248 § 1 i 2, a także wysłuchać go.</w:t>
            </w:r>
          </w:p>
          <w:p w14:paraId="122C4D28" w14:textId="1FBDF2EF" w:rsidR="007401D5" w:rsidRPr="00D128EF" w:rsidRDefault="007401D5" w:rsidP="007401D5">
            <w:pPr>
              <w:tabs>
                <w:tab w:val="left" w:pos="1218"/>
              </w:tabs>
              <w:ind w:firstLine="0"/>
              <w:jc w:val="left"/>
              <w:rPr>
                <w:rFonts w:ascii="Arial" w:hAnsi="Arial" w:cs="Arial"/>
                <w:spacing w:val="-2"/>
                <w:sz w:val="20"/>
                <w:szCs w:val="20"/>
              </w:rPr>
            </w:pPr>
            <w:r w:rsidRPr="00D128EF">
              <w:rPr>
                <w:rFonts w:ascii="Arial" w:hAnsi="Arial" w:cs="Arial"/>
                <w:spacing w:val="-2"/>
                <w:sz w:val="20"/>
                <w:szCs w:val="20"/>
              </w:rPr>
              <w:t>§  3. Z zatrzymania sporządza się protokół, w którym należy podać imię, nazwisko i funkcję dokonującego tej czynności, imię i nazwisko osoby zatrzymanej, a w razie niemożności ustalenia tożsamości - jej rysopis oraz dzień, godzinę, miejsce i przyczynę zatrzymania z podaniem, o jakie przestępstwo się ją podejrzewa. Należy także wciągnąć do protokołu złożone przez zatrzymanego oświadczenia oraz zaznaczyć udzielenie mu informacji o przysługujących prawach. Odpis protokołu doręcza się zatrzymanemu.</w:t>
            </w:r>
          </w:p>
          <w:p w14:paraId="198C321F" w14:textId="5F2C206F" w:rsidR="007401D5" w:rsidRPr="00D128EF" w:rsidRDefault="007401D5" w:rsidP="007401D5">
            <w:pPr>
              <w:ind w:firstLine="0"/>
              <w:jc w:val="left"/>
              <w:rPr>
                <w:rFonts w:ascii="Arial" w:hAnsi="Arial" w:cs="Arial"/>
                <w:spacing w:val="-2"/>
                <w:sz w:val="20"/>
                <w:szCs w:val="20"/>
              </w:rPr>
            </w:pPr>
            <w:r w:rsidRPr="00D128EF">
              <w:rPr>
                <w:rFonts w:ascii="Arial" w:hAnsi="Arial" w:cs="Arial"/>
                <w:spacing w:val="-2"/>
                <w:sz w:val="20"/>
                <w:szCs w:val="20"/>
              </w:rPr>
              <w:t xml:space="preserve">§  4. Niezwłocznie po zatrzymaniu osoby </w:t>
            </w:r>
            <w:r w:rsidRPr="00D128EF">
              <w:rPr>
                <w:rFonts w:ascii="Arial" w:hAnsi="Arial" w:cs="Arial"/>
                <w:strike/>
                <w:color w:val="FF0000"/>
                <w:spacing w:val="-2"/>
                <w:sz w:val="20"/>
                <w:szCs w:val="20"/>
              </w:rPr>
              <w:t>podejrzanej</w:t>
            </w:r>
            <w:r w:rsidRPr="00D128EF">
              <w:rPr>
                <w:rFonts w:ascii="Arial" w:hAnsi="Arial" w:cs="Arial"/>
                <w:color w:val="FF0000"/>
                <w:spacing w:val="-2"/>
                <w:sz w:val="20"/>
                <w:szCs w:val="20"/>
              </w:rPr>
              <w:t xml:space="preserve"> </w:t>
            </w:r>
            <w:r w:rsidRPr="00D128EF">
              <w:rPr>
                <w:rFonts w:ascii="Arial" w:hAnsi="Arial" w:cs="Arial"/>
                <w:spacing w:val="-2"/>
                <w:sz w:val="20"/>
                <w:szCs w:val="20"/>
              </w:rPr>
              <w:t>należy przystąpić do zebrania niezbędnych danych, a także o zatrzymaniu zawiadomić prokuratora. W razie istnienia podstaw, o których mowa w art. 258 § 1-3, należy wystąpić do prokuratora w sprawie skierowania do sądu wniosku o tymczasowe aresztowanie.</w:t>
            </w:r>
          </w:p>
          <w:p w14:paraId="6BFCE029" w14:textId="435FA5CF" w:rsidR="007401D5" w:rsidRPr="00D128EF" w:rsidRDefault="007401D5" w:rsidP="00F66CAB">
            <w:pPr>
              <w:ind w:firstLine="0"/>
              <w:jc w:val="left"/>
              <w:rPr>
                <w:rFonts w:ascii="Arial" w:hAnsi="Arial" w:cs="Arial"/>
                <w:spacing w:val="-2"/>
                <w:sz w:val="20"/>
                <w:szCs w:val="20"/>
              </w:rPr>
            </w:pPr>
            <w:r w:rsidRPr="00D128EF">
              <w:rPr>
                <w:rFonts w:ascii="Arial" w:hAnsi="Arial" w:cs="Arial"/>
                <w:spacing w:val="-2"/>
                <w:sz w:val="20"/>
                <w:szCs w:val="20"/>
              </w:rPr>
              <w:t>§  5. Minister Sprawiedliwości określi, w drodze rozporządzenia, wzór pouczenia, o którym mowa w § 2, zawierającego w szczególności informacje o przysługujących zatrzymanemu uprawnieniach: do korzystania z bezpłatnej pomocy tłumacza, do złożenia oświadczenia i odmowy złożenia oświadczenia, do otrzymania odpisu protokołu zatrzymania, do dostępu do pierwszej pomocy medycznej, jak również o prawach wskazanych w § 2, w art. 245, art. 246 § 1 oraz art. 612 § 2 oraz informację o treści art. 248 § 1 i 2, mając na względzie konieczność zrozumienia pouczenia także przez osoby niekorzystające z pomocy pełnomocnika.</w:t>
            </w:r>
          </w:p>
        </w:tc>
      </w:tr>
      <w:tr w:rsidR="002340A3" w:rsidRPr="00D128EF" w14:paraId="31D773C3" w14:textId="77777777" w:rsidTr="00522E6D">
        <w:tc>
          <w:tcPr>
            <w:tcW w:w="14029" w:type="dxa"/>
          </w:tcPr>
          <w:p w14:paraId="49CBFDE1" w14:textId="424C0A6F" w:rsidR="002340A3" w:rsidRPr="00D128EF" w:rsidRDefault="007401D5" w:rsidP="00F66CAB">
            <w:pPr>
              <w:ind w:firstLine="0"/>
              <w:jc w:val="left"/>
              <w:rPr>
                <w:rFonts w:ascii="Arial" w:hAnsi="Arial" w:cs="Arial"/>
                <w:b/>
                <w:color w:val="002060"/>
                <w:spacing w:val="-2"/>
                <w:sz w:val="20"/>
                <w:szCs w:val="20"/>
              </w:rPr>
            </w:pPr>
            <w:r w:rsidRPr="00D128EF">
              <w:rPr>
                <w:rFonts w:ascii="Arial" w:hAnsi="Arial" w:cs="Arial"/>
                <w:b/>
                <w:bCs/>
                <w:color w:val="002060"/>
                <w:spacing w:val="-2"/>
                <w:sz w:val="20"/>
                <w:szCs w:val="20"/>
              </w:rPr>
              <w:lastRenderedPageBreak/>
              <w:t>Art. 244 § 1a.</w:t>
            </w:r>
            <w:r w:rsidRPr="00D128EF">
              <w:rPr>
                <w:rFonts w:ascii="Arial" w:hAnsi="Arial" w:cs="Arial"/>
                <w:color w:val="002060"/>
                <w:spacing w:val="-2"/>
                <w:sz w:val="20"/>
                <w:szCs w:val="20"/>
              </w:rPr>
              <w:t xml:space="preserve"> Zatrzymanemu oraz jego obrońcy udostępnia się akta postępowania przygotowawczego w części dotyczącej podstaw zatrzymania.</w:t>
            </w:r>
          </w:p>
        </w:tc>
      </w:tr>
      <w:tr w:rsidR="007401D5" w:rsidRPr="00D128EF" w14:paraId="03828097" w14:textId="77777777" w:rsidTr="00522E6D">
        <w:tc>
          <w:tcPr>
            <w:tcW w:w="14029" w:type="dxa"/>
          </w:tcPr>
          <w:p w14:paraId="4759B805" w14:textId="70491AF1" w:rsidR="007401D5" w:rsidRPr="00D128EF" w:rsidRDefault="007401D5" w:rsidP="007401D5">
            <w:pPr>
              <w:ind w:firstLine="0"/>
              <w:jc w:val="left"/>
              <w:rPr>
                <w:rFonts w:ascii="Arial" w:hAnsi="Arial" w:cs="Arial"/>
                <w:spacing w:val="-2"/>
                <w:sz w:val="20"/>
                <w:szCs w:val="20"/>
              </w:rPr>
            </w:pPr>
            <w:r w:rsidRPr="00D128EF">
              <w:rPr>
                <w:rFonts w:ascii="Arial" w:hAnsi="Arial" w:cs="Arial"/>
                <w:b/>
                <w:bCs/>
                <w:spacing w:val="-2"/>
                <w:sz w:val="20"/>
                <w:szCs w:val="20"/>
              </w:rPr>
              <w:t>Art. 245. § 1.</w:t>
            </w:r>
            <w:r w:rsidRPr="00D128EF">
              <w:rPr>
                <w:rFonts w:ascii="Arial" w:hAnsi="Arial" w:cs="Arial"/>
                <w:spacing w:val="-2"/>
                <w:sz w:val="20"/>
                <w:szCs w:val="20"/>
              </w:rPr>
              <w:t xml:space="preserve"> Zatrzymanemu na jego żądanie należy niezwłocznie umożliwić nawiązanie w dostępnej formie kontaktu z  </w:t>
            </w:r>
            <w:r w:rsidRPr="00D128EF">
              <w:rPr>
                <w:rFonts w:ascii="Arial" w:hAnsi="Arial" w:cs="Arial"/>
                <w:color w:val="FF0000"/>
                <w:spacing w:val="-2"/>
                <w:sz w:val="20"/>
                <w:szCs w:val="20"/>
              </w:rPr>
              <w:t xml:space="preserve">adwokatem lub radcą prawnym, </w:t>
            </w:r>
            <w:r w:rsidRPr="00D128EF">
              <w:rPr>
                <w:rFonts w:ascii="Arial" w:hAnsi="Arial" w:cs="Arial"/>
                <w:color w:val="002060"/>
                <w:spacing w:val="-2"/>
                <w:sz w:val="20"/>
                <w:szCs w:val="20"/>
              </w:rPr>
              <w:t xml:space="preserve"> obrońcą </w:t>
            </w:r>
            <w:r w:rsidRPr="00D128EF">
              <w:rPr>
                <w:rFonts w:ascii="Arial" w:hAnsi="Arial" w:cs="Arial"/>
                <w:spacing w:val="-2"/>
                <w:sz w:val="20"/>
                <w:szCs w:val="20"/>
              </w:rPr>
              <w:t xml:space="preserve">a także bezpośrednią z nimi rozmowę; </w:t>
            </w:r>
            <w:r w:rsidRPr="00D128EF">
              <w:rPr>
                <w:rFonts w:ascii="Arial" w:hAnsi="Arial" w:cs="Arial"/>
                <w:strike/>
                <w:color w:val="FF0000"/>
                <w:spacing w:val="-2"/>
                <w:sz w:val="20"/>
                <w:szCs w:val="20"/>
              </w:rPr>
              <w:t>w wyjątkowych wypadkach, uzasadnionych szczególnymi okolicznościami, zatrzymujący może zastrzec, że będzie przy niej obecny.</w:t>
            </w:r>
            <w:r w:rsidRPr="00D128EF">
              <w:rPr>
                <w:rFonts w:ascii="Arial" w:hAnsi="Arial" w:cs="Arial"/>
                <w:color w:val="FF0000"/>
                <w:spacing w:val="-2"/>
                <w:sz w:val="20"/>
                <w:szCs w:val="20"/>
              </w:rPr>
              <w:t xml:space="preserve"> </w:t>
            </w:r>
            <w:r w:rsidRPr="00D128EF">
              <w:rPr>
                <w:rFonts w:ascii="Arial" w:hAnsi="Arial" w:cs="Arial"/>
                <w:spacing w:val="-2"/>
                <w:sz w:val="20"/>
                <w:szCs w:val="20"/>
              </w:rPr>
              <w:t xml:space="preserve">Zatrzymanemu na jego żądanie należy niezwłocznie umożliwić nawiązanie w dostępnej formie kontaktu z obrońcą, a także bezpośrednią z nim rozmowę. </w:t>
            </w:r>
          </w:p>
          <w:p w14:paraId="57F56E0F" w14:textId="1A46E989" w:rsidR="007401D5" w:rsidRPr="00D128EF" w:rsidRDefault="007401D5" w:rsidP="007401D5">
            <w:pPr>
              <w:ind w:firstLine="0"/>
              <w:jc w:val="left"/>
              <w:rPr>
                <w:rFonts w:ascii="Arial" w:hAnsi="Arial" w:cs="Arial"/>
                <w:strike/>
                <w:color w:val="002060"/>
                <w:spacing w:val="-2"/>
                <w:sz w:val="20"/>
                <w:szCs w:val="20"/>
              </w:rPr>
            </w:pPr>
            <w:r w:rsidRPr="00D128EF">
              <w:rPr>
                <w:rFonts w:ascii="Arial" w:hAnsi="Arial" w:cs="Arial"/>
                <w:spacing w:val="-2"/>
                <w:sz w:val="20"/>
                <w:szCs w:val="20"/>
              </w:rPr>
              <w:t>§ 2</w:t>
            </w:r>
            <w:r w:rsidRPr="00D128EF">
              <w:rPr>
                <w:rFonts w:ascii="Arial" w:hAnsi="Arial" w:cs="Arial"/>
                <w:color w:val="FF0000"/>
                <w:spacing w:val="-2"/>
                <w:sz w:val="20"/>
                <w:szCs w:val="20"/>
              </w:rPr>
              <w:t xml:space="preserve"> </w:t>
            </w:r>
            <w:r w:rsidRPr="00D128EF">
              <w:rPr>
                <w:rFonts w:ascii="Arial" w:hAnsi="Arial" w:cs="Arial"/>
                <w:strike/>
                <w:color w:val="FF0000"/>
                <w:spacing w:val="-2"/>
                <w:sz w:val="20"/>
                <w:szCs w:val="20"/>
              </w:rPr>
              <w:t xml:space="preserve">Przepis art. 517j § 1 oraz przepisy wydane na podstawie art. 517j § 2 stosuje się odpowiednio. </w:t>
            </w:r>
            <w:r w:rsidRPr="00D128EF">
              <w:rPr>
                <w:rFonts w:ascii="Arial" w:hAnsi="Arial" w:cs="Arial"/>
                <w:color w:val="002060"/>
                <w:spacing w:val="-2"/>
                <w:sz w:val="20"/>
                <w:szCs w:val="20"/>
              </w:rPr>
              <w:t xml:space="preserve">Dla umożliwienia zatrzymanemu korzystania z pomocy obrońcy ustanawia się obowiązek pełnienia przez adwokatów i radców prawnych dyżurów w czasie i miejscu ustalonym w odrębnych przepisach. W celu umożliwienia realizacji prawa określonego w § 1 zatrzymanemu udostępnia się listę obrońców pełniących dyżur. W razie złożenia przez zatrzymanego wniosku o wyznaczenie obrońcy z urzędu organ prowadzący postępowanie wyznacza obrońcę z urzędu z listy obrońców pełniących dyżur. Koszty pomocy prawnej świadczonej przez obrońcę pełniącego dyżur, o której mowa w § 1, ponosi Skarb Państwa. </w:t>
            </w:r>
          </w:p>
          <w:p w14:paraId="7D8C11E8" w14:textId="59FF6954" w:rsidR="007401D5" w:rsidRPr="00D128EF" w:rsidRDefault="007401D5" w:rsidP="007401D5">
            <w:pPr>
              <w:ind w:firstLine="0"/>
              <w:jc w:val="left"/>
              <w:rPr>
                <w:rFonts w:ascii="Arial" w:hAnsi="Arial" w:cs="Arial"/>
                <w:color w:val="002060"/>
                <w:spacing w:val="-2"/>
                <w:sz w:val="20"/>
                <w:szCs w:val="20"/>
              </w:rPr>
            </w:pPr>
            <w:r w:rsidRPr="00D128EF">
              <w:rPr>
                <w:rFonts w:ascii="Arial" w:hAnsi="Arial" w:cs="Arial"/>
                <w:spacing w:val="-2"/>
                <w:sz w:val="20"/>
                <w:szCs w:val="20"/>
              </w:rPr>
              <w:t xml:space="preserve">§ 3. Przepisy art. 261 stosuje się odpowiednio. </w:t>
            </w:r>
            <w:r w:rsidRPr="00D128EF">
              <w:rPr>
                <w:rFonts w:ascii="Arial" w:hAnsi="Arial" w:cs="Arial"/>
                <w:strike/>
                <w:color w:val="FF0000"/>
                <w:spacing w:val="-2"/>
                <w:sz w:val="20"/>
                <w:szCs w:val="20"/>
              </w:rPr>
              <w:t>z tym, że</w:t>
            </w:r>
            <w:r w:rsidRPr="00D128EF">
              <w:rPr>
                <w:rFonts w:ascii="Arial" w:hAnsi="Arial" w:cs="Arial"/>
                <w:color w:val="FF0000"/>
                <w:spacing w:val="-2"/>
                <w:sz w:val="20"/>
                <w:szCs w:val="20"/>
              </w:rPr>
              <w:t xml:space="preserve"> </w:t>
            </w:r>
            <w:r w:rsidRPr="00D128EF">
              <w:rPr>
                <w:rFonts w:ascii="Arial" w:hAnsi="Arial" w:cs="Arial"/>
                <w:spacing w:val="-2"/>
                <w:sz w:val="20"/>
                <w:szCs w:val="20"/>
              </w:rPr>
              <w:t>Zawiadomienie następuje na żądanie zatrzymanego</w:t>
            </w:r>
            <w:r w:rsidRPr="00D128EF">
              <w:rPr>
                <w:rFonts w:ascii="Arial" w:hAnsi="Arial" w:cs="Arial"/>
                <w:color w:val="002060"/>
                <w:spacing w:val="-2"/>
                <w:sz w:val="20"/>
                <w:szCs w:val="20"/>
              </w:rPr>
              <w:t>, chyba że nie ukończył on 18 lat.</w:t>
            </w:r>
          </w:p>
          <w:p w14:paraId="0197F708" w14:textId="75A4014D" w:rsidR="007401D5" w:rsidRPr="00D128EF" w:rsidRDefault="007401D5" w:rsidP="007401D5">
            <w:pPr>
              <w:ind w:firstLine="0"/>
              <w:jc w:val="left"/>
              <w:rPr>
                <w:rFonts w:ascii="Arial" w:hAnsi="Arial" w:cs="Arial"/>
                <w:color w:val="002060"/>
                <w:spacing w:val="-2"/>
                <w:sz w:val="20"/>
                <w:szCs w:val="20"/>
              </w:rPr>
            </w:pPr>
            <w:r w:rsidRPr="00D128EF">
              <w:rPr>
                <w:rFonts w:ascii="Arial" w:hAnsi="Arial" w:cs="Arial"/>
                <w:color w:val="002060"/>
                <w:spacing w:val="-2"/>
                <w:sz w:val="20"/>
                <w:szCs w:val="20"/>
              </w:rPr>
              <w:t>§ 4. Osoba zatrzymana ma prawo do jednorazowego porozumienia się ze wskazaną przez siebie osobą, na zasadach określonych przez zatrzymującego. W wyjątkowych wypadkach, uzasadnionych szczególnymi okolicznościami, zatrzymujący może odmówić zatrzymanemu zezwolenia na kontakt z tą osobą.</w:t>
            </w:r>
          </w:p>
          <w:p w14:paraId="2CE90C1D" w14:textId="3DECAA39" w:rsidR="007401D5" w:rsidRPr="00D128EF" w:rsidRDefault="007401D5" w:rsidP="007401D5">
            <w:pPr>
              <w:ind w:firstLine="0"/>
              <w:jc w:val="left"/>
              <w:rPr>
                <w:rFonts w:ascii="Arial" w:hAnsi="Arial" w:cs="Arial"/>
                <w:spacing w:val="-2"/>
                <w:sz w:val="20"/>
                <w:szCs w:val="20"/>
              </w:rPr>
            </w:pPr>
            <w:r w:rsidRPr="00D128EF">
              <w:rPr>
                <w:rFonts w:ascii="Arial" w:hAnsi="Arial" w:cs="Arial"/>
                <w:color w:val="002060"/>
                <w:spacing w:val="-2"/>
                <w:sz w:val="20"/>
                <w:szCs w:val="20"/>
              </w:rPr>
              <w:t>§ 5. Minister Sprawiedliwości określi, w drodze rozporządzenia, sposób zapewnienia zatrzymanemu korzystania z pomocy obrońcy i możliwości jego wyboru, w tym organizacji dyżurów, o których mowa w § 2, mając na uwadze prawidłowy przebieg postępowania oraz konieczność zapewnienia zatrzymanemu możliwości wyboru obrońcy.”;</w:t>
            </w:r>
          </w:p>
        </w:tc>
      </w:tr>
      <w:tr w:rsidR="005521A8" w:rsidRPr="00D128EF" w14:paraId="64CABEF9" w14:textId="77777777" w:rsidTr="00522E6D">
        <w:tc>
          <w:tcPr>
            <w:tcW w:w="14029" w:type="dxa"/>
          </w:tcPr>
          <w:p w14:paraId="5D38BD80" w14:textId="7B895B5D" w:rsidR="005521A8" w:rsidRPr="00D128EF" w:rsidRDefault="005521A8" w:rsidP="007401D5">
            <w:pPr>
              <w:ind w:firstLine="0"/>
              <w:jc w:val="left"/>
              <w:rPr>
                <w:rFonts w:ascii="Arial" w:hAnsi="Arial" w:cs="Arial"/>
                <w:spacing w:val="-2"/>
                <w:sz w:val="20"/>
                <w:szCs w:val="20"/>
              </w:rPr>
            </w:pPr>
            <w:r w:rsidRPr="00FB4103">
              <w:rPr>
                <w:rFonts w:ascii="Arial" w:hAnsi="Arial" w:cs="Arial"/>
                <w:b/>
                <w:bCs/>
                <w:spacing w:val="-2"/>
                <w:sz w:val="20"/>
                <w:szCs w:val="20"/>
              </w:rPr>
              <w:t>Art. 247 §  1.</w:t>
            </w:r>
            <w:r w:rsidRPr="00D128EF">
              <w:rPr>
                <w:rFonts w:ascii="Arial" w:hAnsi="Arial" w:cs="Arial"/>
                <w:spacing w:val="-2"/>
                <w:sz w:val="20"/>
                <w:szCs w:val="20"/>
              </w:rPr>
              <w:t xml:space="preserve"> Prokurator może zarządzić zatrzymanie i przymusowe doprowadzenie osoby </w:t>
            </w:r>
            <w:r w:rsidRPr="00D128EF">
              <w:rPr>
                <w:rFonts w:ascii="Arial" w:hAnsi="Arial" w:cs="Arial"/>
                <w:strike/>
                <w:color w:val="FF0000"/>
                <w:spacing w:val="-2"/>
                <w:sz w:val="20"/>
                <w:szCs w:val="20"/>
              </w:rPr>
              <w:t xml:space="preserve">podejrzanej </w:t>
            </w:r>
            <w:r w:rsidRPr="00D128EF">
              <w:rPr>
                <w:rFonts w:ascii="Arial" w:hAnsi="Arial" w:cs="Arial"/>
                <w:spacing w:val="-2"/>
                <w:sz w:val="20"/>
                <w:szCs w:val="20"/>
              </w:rPr>
              <w:t xml:space="preserve"> </w:t>
            </w:r>
            <w:r w:rsidRPr="00EB3430">
              <w:rPr>
                <w:rFonts w:ascii="Arial" w:hAnsi="Arial" w:cs="Arial"/>
                <w:color w:val="002060"/>
                <w:spacing w:val="-2"/>
                <w:sz w:val="20"/>
                <w:szCs w:val="20"/>
              </w:rPr>
              <w:t>co do której istnieje uzasadnione podejrzenie popełnienia przez nią przestępstwa</w:t>
            </w:r>
            <w:r w:rsidRPr="00D128EF">
              <w:rPr>
                <w:rFonts w:ascii="Arial" w:hAnsi="Arial" w:cs="Arial"/>
                <w:b/>
                <w:bCs/>
                <w:color w:val="002060"/>
                <w:spacing w:val="-2"/>
                <w:sz w:val="20"/>
                <w:szCs w:val="20"/>
              </w:rPr>
              <w:t xml:space="preserve"> </w:t>
            </w:r>
            <w:r w:rsidRPr="00D128EF">
              <w:rPr>
                <w:rFonts w:ascii="Arial" w:hAnsi="Arial" w:cs="Arial"/>
                <w:spacing w:val="-2"/>
                <w:sz w:val="20"/>
                <w:szCs w:val="20"/>
              </w:rPr>
              <w:t xml:space="preserve">albo podejrzanego, jeżeli zachodzi uzasadniona obawa, że: </w:t>
            </w:r>
          </w:p>
        </w:tc>
      </w:tr>
      <w:tr w:rsidR="005521A8" w:rsidRPr="00D128EF" w14:paraId="2AA8A5DB" w14:textId="77777777" w:rsidTr="00522E6D">
        <w:tc>
          <w:tcPr>
            <w:tcW w:w="14029" w:type="dxa"/>
          </w:tcPr>
          <w:p w14:paraId="20139786" w14:textId="6FF4DDC9" w:rsidR="005521A8" w:rsidRPr="00D128EF" w:rsidRDefault="005521A8" w:rsidP="007401D5">
            <w:pPr>
              <w:ind w:firstLine="0"/>
              <w:jc w:val="left"/>
              <w:rPr>
                <w:rFonts w:ascii="Arial" w:hAnsi="Arial" w:cs="Arial"/>
                <w:spacing w:val="-2"/>
                <w:sz w:val="20"/>
                <w:szCs w:val="20"/>
              </w:rPr>
            </w:pPr>
            <w:r w:rsidRPr="00FB4103">
              <w:rPr>
                <w:rFonts w:ascii="Arial" w:hAnsi="Arial" w:cs="Arial"/>
                <w:b/>
                <w:bCs/>
                <w:spacing w:val="-2"/>
                <w:sz w:val="20"/>
                <w:szCs w:val="20"/>
              </w:rPr>
              <w:t>Art. 247 § 6.</w:t>
            </w:r>
            <w:r w:rsidRPr="00D128EF">
              <w:rPr>
                <w:rFonts w:ascii="Arial" w:hAnsi="Arial" w:cs="Arial"/>
                <w:spacing w:val="-2"/>
                <w:sz w:val="20"/>
                <w:szCs w:val="20"/>
              </w:rPr>
              <w:t xml:space="preserve"> Do zatrzymania, o którym mowa w § 1, stosuje się odpowiednio </w:t>
            </w:r>
            <w:r w:rsidRPr="00D128EF">
              <w:rPr>
                <w:rFonts w:ascii="Arial" w:hAnsi="Arial" w:cs="Arial"/>
                <w:color w:val="002060"/>
                <w:spacing w:val="-2"/>
                <w:sz w:val="20"/>
                <w:szCs w:val="20"/>
              </w:rPr>
              <w:t xml:space="preserve">art. 244 § 2 i 3, art. 245, art. </w:t>
            </w:r>
            <w:r w:rsidRPr="00D128EF">
              <w:rPr>
                <w:rFonts w:ascii="Arial" w:hAnsi="Arial" w:cs="Arial"/>
                <w:spacing w:val="-2"/>
                <w:sz w:val="20"/>
                <w:szCs w:val="20"/>
              </w:rPr>
              <w:t xml:space="preserve">246 </w:t>
            </w:r>
            <w:r w:rsidRPr="00D128EF">
              <w:rPr>
                <w:rFonts w:ascii="Arial" w:hAnsi="Arial" w:cs="Arial"/>
                <w:color w:val="002060"/>
                <w:spacing w:val="-2"/>
                <w:sz w:val="20"/>
                <w:szCs w:val="20"/>
              </w:rPr>
              <w:t>oraz przepisy wydane na podstawie art. 244 § 5.</w:t>
            </w:r>
          </w:p>
        </w:tc>
      </w:tr>
      <w:tr w:rsidR="005521A8" w:rsidRPr="00D128EF" w14:paraId="467BB445" w14:textId="77777777" w:rsidTr="00522E6D">
        <w:tc>
          <w:tcPr>
            <w:tcW w:w="14029" w:type="dxa"/>
          </w:tcPr>
          <w:p w14:paraId="3421B1CE" w14:textId="2831C037" w:rsidR="005521A8" w:rsidRPr="00D128EF" w:rsidRDefault="005521A8" w:rsidP="005521A8">
            <w:pPr>
              <w:ind w:firstLine="0"/>
              <w:jc w:val="left"/>
              <w:rPr>
                <w:rFonts w:ascii="Arial" w:hAnsi="Arial" w:cs="Arial"/>
                <w:spacing w:val="-2"/>
                <w:sz w:val="20"/>
                <w:szCs w:val="20"/>
              </w:rPr>
            </w:pPr>
            <w:r w:rsidRPr="00D128EF">
              <w:rPr>
                <w:rFonts w:ascii="Arial" w:hAnsi="Arial" w:cs="Arial"/>
                <w:b/>
                <w:bCs/>
                <w:spacing w:val="-2"/>
                <w:sz w:val="20"/>
                <w:szCs w:val="20"/>
              </w:rPr>
              <w:t>Art. 248 § 2.</w:t>
            </w:r>
            <w:r w:rsidRPr="00D128EF">
              <w:rPr>
                <w:rFonts w:ascii="Arial" w:hAnsi="Arial" w:cs="Arial"/>
                <w:spacing w:val="-2"/>
                <w:sz w:val="20"/>
                <w:szCs w:val="20"/>
              </w:rPr>
              <w:t xml:space="preserve"> Zatrzymanego należy zwolnić, jeżeli w ciągu 24 godzin od przekazania go do dyspozycji sądu nie doręczono mu postanowienia o zastosowaniu wobec niego tymczasowego aresztowania</w:t>
            </w:r>
            <w:r w:rsidR="00DB3AEA" w:rsidRPr="00D128EF">
              <w:rPr>
                <w:rFonts w:ascii="Arial" w:hAnsi="Arial" w:cs="Arial"/>
                <w:sz w:val="20"/>
                <w:szCs w:val="20"/>
              </w:rPr>
              <w:t xml:space="preserve"> </w:t>
            </w:r>
            <w:r w:rsidR="00DB3AEA" w:rsidRPr="00D128EF">
              <w:rPr>
                <w:rFonts w:ascii="Arial" w:hAnsi="Arial" w:cs="Arial"/>
                <w:color w:val="FF0000"/>
                <w:spacing w:val="-2"/>
                <w:sz w:val="20"/>
                <w:szCs w:val="20"/>
              </w:rPr>
              <w:t>albo nie ogłoszono mu tego postanowienia na posiedzeniu przeprowadzonym w sposób określony w art. 250 § 3b. Przepis art. 136 § 1 stosuje się odpowiednio, w tym również w przypadku, gdy odbiór tego postanowienia przez zatrzymanego nie jest możliwy.</w:t>
            </w:r>
          </w:p>
          <w:p w14:paraId="193CA467" w14:textId="38E35187" w:rsidR="00DB3AEA" w:rsidRPr="00D128EF" w:rsidRDefault="005521A8" w:rsidP="00DB3AEA">
            <w:pPr>
              <w:ind w:firstLine="0"/>
              <w:jc w:val="left"/>
              <w:rPr>
                <w:rFonts w:ascii="Arial" w:hAnsi="Arial" w:cs="Arial"/>
                <w:spacing w:val="-2"/>
                <w:sz w:val="20"/>
                <w:szCs w:val="20"/>
              </w:rPr>
            </w:pPr>
            <w:r w:rsidRPr="00D128EF">
              <w:rPr>
                <w:rFonts w:ascii="Arial" w:hAnsi="Arial" w:cs="Arial"/>
                <w:spacing w:val="-2"/>
                <w:sz w:val="20"/>
                <w:szCs w:val="20"/>
              </w:rPr>
              <w:t xml:space="preserve">§ 3. Ponowne zatrzymanie </w:t>
            </w:r>
            <w:r w:rsidR="00DB3AEA" w:rsidRPr="00D128EF">
              <w:rPr>
                <w:rFonts w:ascii="Arial" w:hAnsi="Arial" w:cs="Arial"/>
                <w:spacing w:val="-2"/>
                <w:sz w:val="20"/>
                <w:szCs w:val="20"/>
              </w:rPr>
              <w:t xml:space="preserve"> </w:t>
            </w:r>
            <w:r w:rsidR="00DB3AEA" w:rsidRPr="00D128EF">
              <w:rPr>
                <w:rFonts w:ascii="Arial" w:hAnsi="Arial" w:cs="Arial"/>
                <w:strike/>
                <w:color w:val="FF0000"/>
                <w:spacing w:val="-2"/>
                <w:sz w:val="20"/>
                <w:szCs w:val="20"/>
              </w:rPr>
              <w:t>osoby podejrzanej</w:t>
            </w:r>
            <w:r w:rsidR="00DB3AEA" w:rsidRPr="00D128EF">
              <w:rPr>
                <w:rFonts w:ascii="Arial" w:hAnsi="Arial" w:cs="Arial"/>
                <w:color w:val="FF0000"/>
                <w:spacing w:val="-2"/>
                <w:sz w:val="20"/>
                <w:szCs w:val="20"/>
              </w:rPr>
              <w:t xml:space="preserve"> </w:t>
            </w:r>
            <w:r w:rsidRPr="00D128EF">
              <w:rPr>
                <w:rFonts w:ascii="Arial" w:hAnsi="Arial" w:cs="Arial"/>
                <w:spacing w:val="-2"/>
                <w:sz w:val="20"/>
                <w:szCs w:val="20"/>
              </w:rPr>
              <w:t>na podstawie tych samych faktów i dowodów jest niedopuszczalne.”</w:t>
            </w:r>
            <w:r w:rsidR="00DB3AEA" w:rsidRPr="00D128EF">
              <w:rPr>
                <w:rFonts w:ascii="Arial" w:hAnsi="Arial" w:cs="Arial"/>
                <w:b/>
                <w:bCs/>
                <w:spacing w:val="-2"/>
                <w:sz w:val="20"/>
                <w:szCs w:val="20"/>
              </w:rPr>
              <w:t xml:space="preserve"> </w:t>
            </w:r>
          </w:p>
        </w:tc>
      </w:tr>
      <w:tr w:rsidR="00DB3AEA" w:rsidRPr="00D128EF" w14:paraId="37846EEE" w14:textId="77777777" w:rsidTr="00522E6D">
        <w:tc>
          <w:tcPr>
            <w:tcW w:w="14029" w:type="dxa"/>
          </w:tcPr>
          <w:p w14:paraId="1BB6310D" w14:textId="42BD8C68" w:rsidR="00DB3AEA" w:rsidRPr="00D128EF" w:rsidRDefault="00DB3AEA" w:rsidP="005521A8">
            <w:pPr>
              <w:ind w:firstLine="0"/>
              <w:jc w:val="left"/>
              <w:rPr>
                <w:rFonts w:ascii="Arial" w:hAnsi="Arial" w:cs="Arial"/>
                <w:strike/>
                <w:spacing w:val="-2"/>
                <w:sz w:val="20"/>
                <w:szCs w:val="20"/>
              </w:rPr>
            </w:pPr>
            <w:r w:rsidRPr="00D128EF">
              <w:rPr>
                <w:rFonts w:ascii="Arial" w:hAnsi="Arial" w:cs="Arial"/>
                <w:b/>
                <w:bCs/>
                <w:strike/>
                <w:color w:val="FF0000"/>
                <w:spacing w:val="-2"/>
                <w:sz w:val="20"/>
                <w:szCs w:val="20"/>
              </w:rPr>
              <w:t>Art. 249 §</w:t>
            </w:r>
            <w:r w:rsidRPr="00D128EF">
              <w:rPr>
                <w:rFonts w:ascii="Arial" w:hAnsi="Arial" w:cs="Arial"/>
                <w:b/>
                <w:bCs/>
                <w:strike/>
                <w:color w:val="FF0000"/>
                <w:sz w:val="20"/>
                <w:szCs w:val="20"/>
              </w:rPr>
              <w:t xml:space="preserve"> 3a.</w:t>
            </w:r>
            <w:r w:rsidRPr="00D128EF">
              <w:rPr>
                <w:rFonts w:ascii="Arial" w:hAnsi="Arial" w:cs="Arial"/>
                <w:strike/>
                <w:color w:val="FF0000"/>
                <w:sz w:val="20"/>
                <w:szCs w:val="20"/>
              </w:rPr>
              <w:t xml:space="preserve"> </w:t>
            </w:r>
            <w:r w:rsidRPr="00D128EF">
              <w:rPr>
                <w:rFonts w:ascii="Arial" w:hAnsi="Arial" w:cs="Arial"/>
                <w:strike/>
                <w:color w:val="FF0000"/>
                <w:spacing w:val="-2"/>
                <w:sz w:val="20"/>
                <w:szCs w:val="20"/>
              </w:rPr>
              <w:t>Jeżeli przesłuchanie podejrzanego przez sąd albo prokuratora nie jest możliwe ze względu na okoliczności wskazane w art. 313 § 1a, określonego w § 3 wymogu przesłuchania oskarżonego nie stosuje się. Do udziału w postępowaniu w przedmiocie tymczasowego aresztowania wyznacza się obrońcę z urzędu, chyba że podejrzany ma obrońcę. Niestawiennictwo obrońcy należycie zawiadomionego o terminie nie tamuje rozpoznania sprawy.</w:t>
            </w:r>
          </w:p>
        </w:tc>
      </w:tr>
      <w:tr w:rsidR="00DB3AEA" w:rsidRPr="00D128EF" w14:paraId="772E6F5D" w14:textId="77777777" w:rsidTr="00522E6D">
        <w:tc>
          <w:tcPr>
            <w:tcW w:w="14029" w:type="dxa"/>
          </w:tcPr>
          <w:p w14:paraId="011E018F" w14:textId="0D6675D5" w:rsidR="00DB3AEA" w:rsidRPr="00D128EF" w:rsidRDefault="00DB3AEA" w:rsidP="005521A8">
            <w:pPr>
              <w:ind w:firstLine="0"/>
              <w:jc w:val="left"/>
              <w:rPr>
                <w:rFonts w:ascii="Arial" w:hAnsi="Arial" w:cs="Arial"/>
                <w:color w:val="002060"/>
                <w:spacing w:val="-2"/>
                <w:sz w:val="20"/>
                <w:szCs w:val="20"/>
              </w:rPr>
            </w:pPr>
            <w:r w:rsidRPr="00D128EF">
              <w:rPr>
                <w:rFonts w:ascii="Arial" w:hAnsi="Arial" w:cs="Arial"/>
                <w:b/>
                <w:bCs/>
                <w:color w:val="002060"/>
                <w:spacing w:val="-2"/>
                <w:sz w:val="20"/>
                <w:szCs w:val="20"/>
              </w:rPr>
              <w:t xml:space="preserve">Art. </w:t>
            </w:r>
            <w:r w:rsidR="00E717B3" w:rsidRPr="00D128EF">
              <w:rPr>
                <w:rFonts w:ascii="Arial" w:hAnsi="Arial" w:cs="Arial"/>
                <w:b/>
                <w:bCs/>
                <w:color w:val="002060"/>
                <w:spacing w:val="-2"/>
                <w:sz w:val="20"/>
                <w:szCs w:val="20"/>
              </w:rPr>
              <w:t xml:space="preserve">249 </w:t>
            </w:r>
            <w:r w:rsidRPr="00D128EF">
              <w:rPr>
                <w:rFonts w:ascii="Arial" w:hAnsi="Arial" w:cs="Arial"/>
                <w:b/>
                <w:bCs/>
                <w:color w:val="002060"/>
                <w:spacing w:val="-2"/>
                <w:sz w:val="20"/>
                <w:szCs w:val="20"/>
              </w:rPr>
              <w:t>§ 3aa.</w:t>
            </w:r>
            <w:r w:rsidRPr="00D128EF">
              <w:rPr>
                <w:rFonts w:ascii="Arial" w:hAnsi="Arial" w:cs="Arial"/>
                <w:color w:val="002060"/>
                <w:spacing w:val="-2"/>
                <w:sz w:val="20"/>
                <w:szCs w:val="20"/>
              </w:rPr>
              <w:t xml:space="preserve"> Udział obrońcy w przesłuchaniu przez sąd podejrzanego, który nie ukończył 18 lat, w związku z rozpoznaniem wniosku o zastosowanie tymczasowego aresztowania, jest obowiązkowy. W wyjątkowych, szczególnie uzasadnionych wypadkach sąd może przesłuchać podejrzanego bez udziału obrońcy, jeżeli niestawiennictwo obrońcy jest wynikiem przyczyny niezależnej od sądu, a nie jest możliwe zapewnienie udziału obrońcy w przesłuchaniu przed upływem terminu, o którym mowa w art. 248 § 2.</w:t>
            </w:r>
          </w:p>
        </w:tc>
      </w:tr>
      <w:tr w:rsidR="00DB3AEA" w:rsidRPr="00D128EF" w14:paraId="671122FE" w14:textId="77777777" w:rsidTr="00522E6D">
        <w:tc>
          <w:tcPr>
            <w:tcW w:w="14029" w:type="dxa"/>
          </w:tcPr>
          <w:p w14:paraId="3272E4B0" w14:textId="3EB185ED" w:rsidR="00DB3AEA" w:rsidRPr="00D128EF" w:rsidRDefault="00DB3AEA" w:rsidP="00DB3AEA">
            <w:pPr>
              <w:ind w:firstLine="0"/>
              <w:jc w:val="left"/>
              <w:rPr>
                <w:rFonts w:ascii="Arial" w:hAnsi="Arial" w:cs="Arial"/>
                <w:spacing w:val="-2"/>
                <w:sz w:val="20"/>
                <w:szCs w:val="20"/>
              </w:rPr>
            </w:pPr>
            <w:r w:rsidRPr="00D128EF">
              <w:rPr>
                <w:rFonts w:ascii="Arial" w:hAnsi="Arial" w:cs="Arial"/>
                <w:b/>
                <w:bCs/>
                <w:spacing w:val="-2"/>
                <w:sz w:val="20"/>
                <w:szCs w:val="20"/>
              </w:rPr>
              <w:lastRenderedPageBreak/>
              <w:t>Art. 249 §  1.</w:t>
            </w:r>
            <w:r w:rsidRPr="00D128EF">
              <w:rPr>
                <w:rFonts w:ascii="Arial" w:hAnsi="Arial" w:cs="Arial"/>
                <w:spacing w:val="-2"/>
                <w:sz w:val="20"/>
                <w:szCs w:val="20"/>
              </w:rPr>
              <w:t xml:space="preserve">  Podstawę orzeczenia o zastosowaniu lub przedłużeniu tymczasowego aresztowania mogą stanowić ustalenia poczynione na podstawie:</w:t>
            </w:r>
          </w:p>
          <w:p w14:paraId="7CBBF040" w14:textId="3656DB37" w:rsidR="00DB3AEA" w:rsidRPr="00D128EF" w:rsidRDefault="00DB3AEA" w:rsidP="00DB3AEA">
            <w:pPr>
              <w:ind w:firstLine="0"/>
              <w:jc w:val="left"/>
              <w:rPr>
                <w:rFonts w:ascii="Arial" w:hAnsi="Arial" w:cs="Arial"/>
                <w:spacing w:val="-2"/>
                <w:sz w:val="20"/>
                <w:szCs w:val="20"/>
              </w:rPr>
            </w:pPr>
            <w:r w:rsidRPr="00D128EF">
              <w:rPr>
                <w:rFonts w:ascii="Arial" w:hAnsi="Arial" w:cs="Arial"/>
                <w:spacing w:val="-2"/>
                <w:sz w:val="20"/>
                <w:szCs w:val="20"/>
              </w:rPr>
              <w:t>1) dowodów jawnych dla oskarżonego i jego obrońcy</w:t>
            </w:r>
            <w:r w:rsidRPr="00D128EF">
              <w:rPr>
                <w:rFonts w:ascii="Arial" w:hAnsi="Arial" w:cs="Arial"/>
                <w:color w:val="FF0000"/>
                <w:spacing w:val="-2"/>
                <w:sz w:val="20"/>
                <w:szCs w:val="20"/>
              </w:rPr>
              <w:t>;</w:t>
            </w:r>
            <w:r w:rsidRPr="00D128EF">
              <w:rPr>
                <w:rFonts w:ascii="Arial" w:hAnsi="Arial" w:cs="Arial"/>
                <w:strike/>
                <w:color w:val="FF0000"/>
                <w:spacing w:val="-2"/>
                <w:sz w:val="20"/>
                <w:szCs w:val="20"/>
              </w:rPr>
              <w:t>.</w:t>
            </w:r>
          </w:p>
          <w:p w14:paraId="4839A8E5" w14:textId="3E0756BC" w:rsidR="00DB3AEA" w:rsidRPr="00D128EF" w:rsidRDefault="00DB3AEA" w:rsidP="00DB3AEA">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2) dowodów z zeznań świadków, o których mowa w art. 250 § 2b.</w:t>
            </w:r>
          </w:p>
        </w:tc>
      </w:tr>
      <w:tr w:rsidR="00DB3AEA" w:rsidRPr="00D128EF" w14:paraId="489478AD" w14:textId="77777777" w:rsidTr="00522E6D">
        <w:tc>
          <w:tcPr>
            <w:tcW w:w="14029" w:type="dxa"/>
          </w:tcPr>
          <w:p w14:paraId="432DA15E" w14:textId="0D0CE130" w:rsidR="00DB3AEA" w:rsidRPr="00D128EF" w:rsidRDefault="007B104C" w:rsidP="00DB3AEA">
            <w:pPr>
              <w:ind w:firstLine="0"/>
              <w:jc w:val="left"/>
              <w:rPr>
                <w:rFonts w:ascii="Arial" w:hAnsi="Arial" w:cs="Arial"/>
                <w:spacing w:val="-2"/>
                <w:sz w:val="20"/>
                <w:szCs w:val="20"/>
              </w:rPr>
            </w:pPr>
            <w:r w:rsidRPr="00D128EF">
              <w:rPr>
                <w:rFonts w:ascii="Arial" w:hAnsi="Arial" w:cs="Arial"/>
                <w:b/>
                <w:bCs/>
                <w:spacing w:val="-2"/>
                <w:sz w:val="20"/>
                <w:szCs w:val="20"/>
              </w:rPr>
              <w:t>Art. 250 § 2b.</w:t>
            </w:r>
            <w:r w:rsidRPr="00D128EF">
              <w:rPr>
                <w:rFonts w:ascii="Arial" w:hAnsi="Arial" w:cs="Arial"/>
                <w:spacing w:val="-2"/>
                <w:sz w:val="20"/>
                <w:szCs w:val="20"/>
              </w:rPr>
              <w:t xml:space="preserve"> Jeżeli zachodzi uzasadniona obawa niebezpieczeństwa dla życia, zdrowia albo wolności świadka lub osoby dla niego najbliższej, prokurator dołącza do wniosku, o którym mowa w § 2a, w wyodrębnionym zbiorze dokumentów, dowody z zeznań świadka, których nie udostępnia się oskarżonemu i jego obrońcy.</w:t>
            </w:r>
          </w:p>
        </w:tc>
      </w:tr>
      <w:tr w:rsidR="00FB4103" w:rsidRPr="00D128EF" w14:paraId="37A12214" w14:textId="77777777" w:rsidTr="0064321C">
        <w:tc>
          <w:tcPr>
            <w:tcW w:w="14029" w:type="dxa"/>
          </w:tcPr>
          <w:p w14:paraId="1C8BBB67" w14:textId="77777777" w:rsidR="00FB4103" w:rsidRPr="00D128EF" w:rsidRDefault="00FB4103" w:rsidP="00FB4103">
            <w:pPr>
              <w:ind w:firstLine="0"/>
              <w:jc w:val="left"/>
              <w:rPr>
                <w:rFonts w:ascii="Arial" w:hAnsi="Arial" w:cs="Arial"/>
                <w:b/>
                <w:bCs/>
                <w:strike/>
                <w:color w:val="FF0000"/>
                <w:spacing w:val="-2"/>
                <w:sz w:val="20"/>
                <w:szCs w:val="20"/>
              </w:rPr>
            </w:pPr>
            <w:r w:rsidRPr="00D128EF">
              <w:rPr>
                <w:rFonts w:ascii="Arial" w:hAnsi="Arial" w:cs="Arial"/>
                <w:b/>
                <w:bCs/>
                <w:sz w:val="20"/>
                <w:szCs w:val="20"/>
              </w:rPr>
              <w:t>Art. 250 § 3.</w:t>
            </w:r>
            <w:r w:rsidRPr="00D128EF">
              <w:rPr>
                <w:rFonts w:ascii="Arial" w:hAnsi="Arial" w:cs="Arial"/>
                <w:sz w:val="20"/>
                <w:szCs w:val="20"/>
              </w:rPr>
              <w:t xml:space="preserve"> Prokurator, przesyłając wraz z aktami sprawy wniosek, o którym mowa w § 2,  </w:t>
            </w:r>
            <w:r w:rsidRPr="00D128EF">
              <w:rPr>
                <w:rFonts w:ascii="Arial" w:hAnsi="Arial" w:cs="Arial"/>
                <w:color w:val="002060"/>
                <w:sz w:val="20"/>
                <w:szCs w:val="20"/>
              </w:rPr>
              <w:t xml:space="preserve">doręcza podejrzanemu jego odpis, </w:t>
            </w:r>
            <w:r w:rsidRPr="00D128EF">
              <w:rPr>
                <w:rFonts w:ascii="Arial" w:hAnsi="Arial" w:cs="Arial"/>
                <w:sz w:val="20"/>
                <w:szCs w:val="20"/>
              </w:rPr>
              <w:t xml:space="preserve">poucza podejrzanego o przysługujących mu w wypadku zastosowania tymczasowego aresztowania uprawnieniach oraz zarządza jednocześnie doprowadzenie go do sądu. </w:t>
            </w:r>
            <w:r w:rsidRPr="00D128EF">
              <w:rPr>
                <w:rFonts w:ascii="Arial" w:hAnsi="Arial" w:cs="Arial"/>
                <w:color w:val="002060"/>
                <w:sz w:val="20"/>
                <w:szCs w:val="20"/>
              </w:rPr>
              <w:t>Składając wniosek o zastosowanie tymczasowego aresztowania prokurator przesyła sądowi odpis wniosku w postaci elektronicznej. Na wniosek obrońcy sąd niezwłocznie przesyła wniosek na wskazany przez obrońcę adres poczty elektronicznej.</w:t>
            </w:r>
          </w:p>
        </w:tc>
      </w:tr>
      <w:tr w:rsidR="007B104C" w:rsidRPr="00D128EF" w14:paraId="22896E7C" w14:textId="77777777" w:rsidTr="00522E6D">
        <w:tc>
          <w:tcPr>
            <w:tcW w:w="14029" w:type="dxa"/>
          </w:tcPr>
          <w:p w14:paraId="569CF927" w14:textId="2E1ED2EA" w:rsidR="007B104C" w:rsidRPr="00D128EF" w:rsidRDefault="00FB4103" w:rsidP="007B104C">
            <w:pPr>
              <w:ind w:firstLine="0"/>
              <w:jc w:val="left"/>
              <w:rPr>
                <w:rFonts w:ascii="Arial" w:hAnsi="Arial" w:cs="Arial"/>
                <w:strike/>
                <w:color w:val="FF0000"/>
                <w:spacing w:val="-2"/>
                <w:sz w:val="20"/>
                <w:szCs w:val="20"/>
              </w:rPr>
            </w:pPr>
            <w:r>
              <w:rPr>
                <w:rFonts w:ascii="Arial" w:hAnsi="Arial" w:cs="Arial"/>
                <w:b/>
                <w:bCs/>
                <w:strike/>
                <w:color w:val="FF0000"/>
                <w:spacing w:val="-2"/>
                <w:sz w:val="20"/>
                <w:szCs w:val="20"/>
              </w:rPr>
              <w:t xml:space="preserve">Art. 250 </w:t>
            </w:r>
            <w:r w:rsidR="007B104C" w:rsidRPr="00D128EF">
              <w:rPr>
                <w:rFonts w:ascii="Arial" w:hAnsi="Arial" w:cs="Arial"/>
                <w:b/>
                <w:bCs/>
                <w:strike/>
                <w:color w:val="FF0000"/>
                <w:spacing w:val="-2"/>
                <w:sz w:val="20"/>
                <w:szCs w:val="20"/>
              </w:rPr>
              <w:t>§  3b. </w:t>
            </w:r>
            <w:r w:rsidR="007B104C" w:rsidRPr="00D128EF">
              <w:rPr>
                <w:rFonts w:ascii="Arial" w:hAnsi="Arial" w:cs="Arial"/>
                <w:strike/>
                <w:color w:val="FF0000"/>
                <w:spacing w:val="-2"/>
                <w:sz w:val="20"/>
                <w:szCs w:val="20"/>
              </w:rPr>
              <w:t>Można odstąpić od przymusowego doprowadzenia do sądu podejrzanego, jeżeli zostanie zapewniony udział podejrzanego w posiedzeniu, w szczególności złożenie przez niego wyjaśnień, przy użyciu urządzeń technicznych, umożliwiających przeprowadzenie tego posiedzenia na odległość z jednoczesnym bezpośrednim przekazem obrazu i dźwięku.</w:t>
            </w:r>
          </w:p>
          <w:p w14:paraId="62754200" w14:textId="4982CFF9" w:rsidR="007B104C" w:rsidRPr="00D128EF" w:rsidRDefault="007B104C" w:rsidP="007B104C">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3c. </w:t>
            </w:r>
            <w:r w:rsidRPr="00D128EF">
              <w:rPr>
                <w:rFonts w:ascii="Arial" w:hAnsi="Arial" w:cs="Arial"/>
                <w:strike/>
                <w:color w:val="FF0000"/>
                <w:spacing w:val="-2"/>
                <w:sz w:val="20"/>
                <w:szCs w:val="20"/>
              </w:rPr>
              <w:t>W wypadku określonym w § 3b w posiedzeniu bierze udział w miejscu przebywania podejrzanego referendarz sądowy lub asystent sędziego zatrudniony w sądzie, w którego okręgu przebywa podejrzany, lub przedstawiciel administracji zakładu karnego lub aresztu śledczego, jeżeli podejrzany przebywa w zakładzie karnym lub areszcie śledczym.</w:t>
            </w:r>
          </w:p>
          <w:p w14:paraId="76DB39A0" w14:textId="3A717101" w:rsidR="007B104C" w:rsidRPr="00D128EF" w:rsidRDefault="007B104C" w:rsidP="007B104C">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3d. </w:t>
            </w:r>
            <w:r w:rsidRPr="00D128EF">
              <w:rPr>
                <w:rFonts w:ascii="Arial" w:hAnsi="Arial" w:cs="Arial"/>
                <w:strike/>
                <w:color w:val="FF0000"/>
                <w:spacing w:val="-2"/>
                <w:sz w:val="20"/>
                <w:szCs w:val="20"/>
              </w:rPr>
              <w:t>Obrońca bierze udział w posiedzeniu przeprowadzonym w sposób określony w § 3b w miejscu przebywania oskarżonego, chyba że obrońca stawi się w tym celu w sądzie lub sąd zobowiąże go do udziału w posiedzeniu w budynku sądu z uwagi na konieczność uchylenia ryzyka nierozstrzygnięcia wniosku w przedmiocie zastosowania tymczasowego aresztowania przed upływem dopuszczalnego czasu zatrzymania oskarżonego.</w:t>
            </w:r>
          </w:p>
          <w:p w14:paraId="25776B19" w14:textId="2D08FC45" w:rsidR="007B104C" w:rsidRPr="00D128EF" w:rsidRDefault="007B104C" w:rsidP="007B104C">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3e. </w:t>
            </w:r>
            <w:r w:rsidRPr="00D128EF">
              <w:rPr>
                <w:rFonts w:ascii="Arial" w:hAnsi="Arial" w:cs="Arial"/>
                <w:strike/>
                <w:color w:val="FF0000"/>
                <w:spacing w:val="-2"/>
                <w:sz w:val="20"/>
                <w:szCs w:val="20"/>
              </w:rPr>
              <w:t>W wypadku, gdy obrońca bierze udział w posiedzeniu przebywając w innym miejscu niż oskarżony, sąd na wniosek oskarżonego lub obrońcy może zarządzić przerwę na czas oznaczony i zezwolić na telefoniczny kontakt obrońcy z oskarżonym, chyba że uwzględnienie wniosku może zakłócić prawidłowy przebieg posiedzenia lub stwarza ryzyko nierozstrzygnięcia wniosku w przedmiocie zastosowania tymczasowego aresztowania przed upływem dopuszczalnego czasu zatrzymania oskarżonego.</w:t>
            </w:r>
          </w:p>
          <w:p w14:paraId="4BF1BF4D" w14:textId="4CC2B2CA" w:rsidR="007B104C" w:rsidRPr="00D128EF" w:rsidRDefault="007B104C" w:rsidP="007B104C">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3f. </w:t>
            </w:r>
            <w:r w:rsidRPr="00D128EF">
              <w:rPr>
                <w:rFonts w:ascii="Arial" w:hAnsi="Arial" w:cs="Arial"/>
                <w:strike/>
                <w:color w:val="FF0000"/>
                <w:spacing w:val="-2"/>
                <w:sz w:val="20"/>
                <w:szCs w:val="20"/>
              </w:rPr>
              <w:t>Przepisu § 3b nie stosuje się w wypadku oskarżonego, którego dotyczą okoliczności wskazane w art. 79 § 1 pkt 2.</w:t>
            </w:r>
          </w:p>
          <w:p w14:paraId="2D1EB026" w14:textId="6451D369" w:rsidR="007B104C" w:rsidRPr="00D128EF" w:rsidRDefault="007B104C" w:rsidP="007B104C">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3g. </w:t>
            </w:r>
            <w:r w:rsidRPr="00D128EF">
              <w:rPr>
                <w:rFonts w:ascii="Arial" w:hAnsi="Arial" w:cs="Arial"/>
                <w:strike/>
                <w:color w:val="FF0000"/>
                <w:spacing w:val="-2"/>
                <w:sz w:val="20"/>
                <w:szCs w:val="20"/>
              </w:rPr>
              <w:t>Tłumacz może wziąć udział w posiedzeniu również w miejscu przebywania oskarżonego.</w:t>
            </w:r>
          </w:p>
          <w:p w14:paraId="03565863" w14:textId="4DFBBAE0" w:rsidR="007B104C" w:rsidRPr="00D128EF" w:rsidRDefault="007B104C" w:rsidP="00DB3AEA">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  3h. </w:t>
            </w:r>
            <w:r w:rsidRPr="00D128EF">
              <w:rPr>
                <w:rFonts w:ascii="Arial" w:hAnsi="Arial" w:cs="Arial"/>
                <w:strike/>
                <w:color w:val="FF0000"/>
                <w:spacing w:val="-2"/>
                <w:sz w:val="20"/>
                <w:szCs w:val="20"/>
              </w:rPr>
              <w:t>Przepisy art. 517ea stosuje się odpowiednio.</w:t>
            </w:r>
          </w:p>
        </w:tc>
      </w:tr>
      <w:tr w:rsidR="007B104C" w:rsidRPr="00D128EF" w14:paraId="2D934546" w14:textId="77777777" w:rsidTr="00522E6D">
        <w:tc>
          <w:tcPr>
            <w:tcW w:w="14029" w:type="dxa"/>
          </w:tcPr>
          <w:p w14:paraId="42A77729" w14:textId="408FFF8E" w:rsidR="007B104C" w:rsidRPr="00D128EF" w:rsidRDefault="007B104C" w:rsidP="00EF7CE2">
            <w:pPr>
              <w:ind w:firstLine="0"/>
              <w:jc w:val="left"/>
              <w:rPr>
                <w:rFonts w:ascii="Arial" w:hAnsi="Arial" w:cs="Arial"/>
                <w:sz w:val="20"/>
                <w:szCs w:val="20"/>
              </w:rPr>
            </w:pPr>
            <w:r w:rsidRPr="00D128EF">
              <w:rPr>
                <w:rFonts w:ascii="Arial" w:hAnsi="Arial" w:cs="Arial"/>
                <w:b/>
                <w:bCs/>
                <w:sz w:val="20"/>
                <w:szCs w:val="20"/>
              </w:rPr>
              <w:t>Art. 257 §  2. </w:t>
            </w:r>
            <w:r w:rsidRPr="00D128EF">
              <w:rPr>
                <w:rFonts w:ascii="Arial" w:hAnsi="Arial" w:cs="Arial"/>
                <w:sz w:val="20"/>
                <w:szCs w:val="20"/>
              </w:rPr>
              <w:t>Stosując tymczasowe aresztowanie, sąd może zastrzec, że środek ten ulegnie zmianie pod warunkiem złożenia</w:t>
            </w:r>
            <w:r w:rsidRPr="00D128EF">
              <w:rPr>
                <w:rFonts w:ascii="Arial" w:hAnsi="Arial" w:cs="Arial"/>
                <w:strike/>
                <w:color w:val="FF0000"/>
                <w:sz w:val="20"/>
                <w:szCs w:val="20"/>
              </w:rPr>
              <w:t xml:space="preserve">, nie później niż w wyznaczonym terminie, </w:t>
            </w:r>
            <w:r w:rsidRPr="00D128EF">
              <w:rPr>
                <w:rFonts w:ascii="Arial" w:hAnsi="Arial" w:cs="Arial"/>
                <w:sz w:val="20"/>
                <w:szCs w:val="20"/>
              </w:rPr>
              <w:t>określonego poręczenia majątkowego</w:t>
            </w:r>
            <w:r w:rsidRPr="00D128EF">
              <w:rPr>
                <w:rFonts w:ascii="Arial" w:hAnsi="Arial" w:cs="Arial"/>
                <w:strike/>
                <w:color w:val="FF0000"/>
                <w:sz w:val="20"/>
                <w:szCs w:val="20"/>
              </w:rPr>
              <w:t>; na uzasadniony wniosek oskarżonego lub jego obrońcy, złożony najpóźniej w ostatnim dniu wyznaczonego terminu, sąd może przedłużyć termin złożenia poręczenia.</w:t>
            </w:r>
          </w:p>
        </w:tc>
      </w:tr>
      <w:tr w:rsidR="007B104C" w:rsidRPr="00D128EF" w14:paraId="0E9D2C85" w14:textId="77777777" w:rsidTr="00522E6D">
        <w:tc>
          <w:tcPr>
            <w:tcW w:w="14029" w:type="dxa"/>
          </w:tcPr>
          <w:p w14:paraId="07B03991" w14:textId="69D51D48" w:rsidR="007B104C" w:rsidRPr="00D128EF" w:rsidRDefault="007B104C" w:rsidP="007B104C">
            <w:pPr>
              <w:ind w:firstLine="0"/>
              <w:jc w:val="left"/>
              <w:rPr>
                <w:rFonts w:ascii="Arial" w:hAnsi="Arial" w:cs="Arial"/>
                <w:strike/>
                <w:color w:val="FF0000"/>
                <w:sz w:val="20"/>
                <w:szCs w:val="20"/>
              </w:rPr>
            </w:pPr>
            <w:r w:rsidRPr="00D128EF">
              <w:rPr>
                <w:rFonts w:ascii="Arial" w:hAnsi="Arial" w:cs="Arial"/>
                <w:b/>
                <w:bCs/>
                <w:strike/>
                <w:color w:val="FF0000"/>
                <w:sz w:val="20"/>
                <w:szCs w:val="20"/>
              </w:rPr>
              <w:t>Art. 257 §  3.</w:t>
            </w:r>
            <w:r w:rsidRPr="00D128EF">
              <w:rPr>
                <w:rFonts w:ascii="Arial" w:hAnsi="Arial" w:cs="Arial"/>
                <w:strike/>
                <w:color w:val="FF0000"/>
                <w:sz w:val="20"/>
                <w:szCs w:val="20"/>
              </w:rPr>
              <w:t> Jeżeli prokurator oświadczy, najpóźniej na posiedzeniu po ogłoszeniu postanowienia wydanego na podstawie § 2, że sprzeciwia się zmianie środka zapobiegawczego, postanowienie to, w zakresie dotyczącym zmiany tymczasowego aresztowania na poręczenie majątkowe, staje się wykonalne z dniem uprawomocnienia.</w:t>
            </w:r>
          </w:p>
        </w:tc>
      </w:tr>
      <w:tr w:rsidR="00B5099B" w:rsidRPr="00D128EF" w14:paraId="6EDFD826" w14:textId="77777777" w:rsidTr="00522E6D">
        <w:tc>
          <w:tcPr>
            <w:tcW w:w="14029" w:type="dxa"/>
          </w:tcPr>
          <w:p w14:paraId="3AD3EAB4" w14:textId="2C5BD3B2" w:rsidR="00B5099B" w:rsidRPr="00D128EF" w:rsidRDefault="00B5099B" w:rsidP="00B5099B">
            <w:pPr>
              <w:ind w:firstLine="0"/>
              <w:jc w:val="left"/>
              <w:rPr>
                <w:rFonts w:ascii="Arial" w:hAnsi="Arial" w:cs="Arial"/>
                <w:sz w:val="20"/>
                <w:szCs w:val="20"/>
              </w:rPr>
            </w:pPr>
            <w:r w:rsidRPr="00D128EF">
              <w:rPr>
                <w:rFonts w:ascii="Arial" w:hAnsi="Arial" w:cs="Arial"/>
                <w:b/>
                <w:bCs/>
                <w:sz w:val="20"/>
                <w:szCs w:val="20"/>
              </w:rPr>
              <w:t xml:space="preserve">Art.  258 §  1. </w:t>
            </w:r>
            <w:r w:rsidRPr="00D128EF">
              <w:rPr>
                <w:rFonts w:ascii="Arial" w:hAnsi="Arial" w:cs="Arial"/>
                <w:b/>
                <w:bCs/>
                <w:sz w:val="20"/>
                <w:szCs w:val="20"/>
              </w:rPr>
              <w:tab/>
            </w:r>
            <w:r w:rsidRPr="00D128EF">
              <w:rPr>
                <w:rFonts w:ascii="Arial" w:hAnsi="Arial" w:cs="Arial"/>
                <w:sz w:val="20"/>
                <w:szCs w:val="20"/>
              </w:rPr>
              <w:t xml:space="preserve">Tymczasowe aresztowanie i pozostałe środki zapobiegawcze można stosować, jeżeli zachodzi: 1) uzasadniona obawa ucieczki lub ukrycia się oskarżonego, zwłaszcza wtedy, gdy nie można ustalić jego tożsamości albo nie ma on </w:t>
            </w:r>
            <w:r w:rsidRPr="00D128EF">
              <w:rPr>
                <w:rFonts w:ascii="Arial" w:hAnsi="Arial" w:cs="Arial"/>
                <w:strike/>
                <w:color w:val="FF0000"/>
                <w:sz w:val="20"/>
                <w:szCs w:val="20"/>
              </w:rPr>
              <w:t>w kraju</w:t>
            </w:r>
            <w:r w:rsidRPr="00D128EF">
              <w:rPr>
                <w:rFonts w:ascii="Arial" w:hAnsi="Arial" w:cs="Arial"/>
                <w:color w:val="FF0000"/>
                <w:sz w:val="20"/>
                <w:szCs w:val="20"/>
              </w:rPr>
              <w:t xml:space="preserve"> </w:t>
            </w:r>
            <w:r w:rsidRPr="00D128EF">
              <w:rPr>
                <w:rFonts w:ascii="Arial" w:hAnsi="Arial" w:cs="Arial"/>
                <w:sz w:val="20"/>
                <w:szCs w:val="20"/>
              </w:rPr>
              <w:t>stałego miejsca pobytu;</w:t>
            </w:r>
          </w:p>
        </w:tc>
      </w:tr>
      <w:tr w:rsidR="00B5099B" w:rsidRPr="00D128EF" w14:paraId="3CE9A7EC" w14:textId="77777777" w:rsidTr="00522E6D">
        <w:tc>
          <w:tcPr>
            <w:tcW w:w="14029" w:type="dxa"/>
          </w:tcPr>
          <w:p w14:paraId="064FC29D" w14:textId="20886A1E" w:rsidR="00B5099B" w:rsidRPr="00D128EF" w:rsidRDefault="00B5099B" w:rsidP="00B5099B">
            <w:pPr>
              <w:ind w:firstLine="0"/>
              <w:jc w:val="left"/>
              <w:rPr>
                <w:rFonts w:ascii="Arial" w:hAnsi="Arial" w:cs="Arial"/>
                <w:sz w:val="20"/>
                <w:szCs w:val="20"/>
              </w:rPr>
            </w:pPr>
            <w:r w:rsidRPr="00D128EF">
              <w:rPr>
                <w:rFonts w:ascii="Arial" w:hAnsi="Arial" w:cs="Arial"/>
                <w:b/>
                <w:bCs/>
                <w:sz w:val="20"/>
                <w:szCs w:val="20"/>
              </w:rPr>
              <w:t>Art.</w:t>
            </w:r>
            <w:r w:rsidRPr="00D128EF">
              <w:rPr>
                <w:rFonts w:ascii="Arial" w:hAnsi="Arial" w:cs="Arial"/>
                <w:sz w:val="20"/>
                <w:szCs w:val="20"/>
              </w:rPr>
              <w:t xml:space="preserve"> </w:t>
            </w:r>
            <w:r w:rsidRPr="00D128EF">
              <w:rPr>
                <w:rFonts w:ascii="Arial" w:hAnsi="Arial" w:cs="Arial"/>
                <w:b/>
                <w:bCs/>
                <w:sz w:val="20"/>
                <w:szCs w:val="20"/>
              </w:rPr>
              <w:t xml:space="preserve">258 §  2. </w:t>
            </w:r>
            <w:r w:rsidRPr="00D128EF">
              <w:rPr>
                <w:rFonts w:ascii="Arial" w:hAnsi="Arial" w:cs="Arial"/>
                <w:strike/>
                <w:color w:val="FF0000"/>
                <w:sz w:val="20"/>
                <w:szCs w:val="20"/>
              </w:rPr>
              <w:t>Jeżeli oskarżonemu zarzuca się</w:t>
            </w:r>
            <w:r w:rsidRPr="00D128EF">
              <w:rPr>
                <w:rFonts w:ascii="Arial" w:hAnsi="Arial" w:cs="Arial"/>
                <w:color w:val="FF0000"/>
                <w:sz w:val="20"/>
                <w:szCs w:val="20"/>
              </w:rPr>
              <w:t xml:space="preserve">  </w:t>
            </w:r>
            <w:r w:rsidRPr="00D128EF">
              <w:rPr>
                <w:rFonts w:ascii="Arial" w:hAnsi="Arial" w:cs="Arial"/>
                <w:color w:val="002060"/>
                <w:sz w:val="20"/>
                <w:szCs w:val="20"/>
              </w:rPr>
              <w:t xml:space="preserve">Wobec oskarżonego, któremu zarzucono </w:t>
            </w:r>
            <w:r w:rsidRPr="00D128EF">
              <w:rPr>
                <w:rFonts w:ascii="Arial" w:hAnsi="Arial" w:cs="Arial"/>
                <w:sz w:val="20"/>
                <w:szCs w:val="20"/>
              </w:rPr>
              <w:t xml:space="preserve">popełnienie zbrodni lub występku zagrożonego karą pozbawienia wolności, której górna granica wynosi co najmniej </w:t>
            </w:r>
            <w:r w:rsidRPr="00D128EF">
              <w:rPr>
                <w:rFonts w:ascii="Arial" w:hAnsi="Arial" w:cs="Arial"/>
                <w:strike/>
                <w:color w:val="FF0000"/>
                <w:sz w:val="20"/>
                <w:szCs w:val="20"/>
              </w:rPr>
              <w:t xml:space="preserve">8 </w:t>
            </w:r>
            <w:r w:rsidRPr="00D128EF">
              <w:rPr>
                <w:rFonts w:ascii="Arial" w:hAnsi="Arial" w:cs="Arial"/>
                <w:color w:val="002060"/>
                <w:sz w:val="20"/>
                <w:szCs w:val="20"/>
              </w:rPr>
              <w:t>10</w:t>
            </w:r>
            <w:r w:rsidRPr="00D128EF">
              <w:rPr>
                <w:rFonts w:ascii="Arial" w:hAnsi="Arial" w:cs="Arial"/>
                <w:sz w:val="20"/>
                <w:szCs w:val="20"/>
              </w:rPr>
              <w:t xml:space="preserve"> lat, albo </w:t>
            </w:r>
            <w:r w:rsidRPr="00D128EF">
              <w:rPr>
                <w:rFonts w:ascii="Arial" w:hAnsi="Arial" w:cs="Arial"/>
                <w:strike/>
                <w:color w:val="FF0000"/>
                <w:sz w:val="20"/>
                <w:szCs w:val="20"/>
              </w:rPr>
              <w:t xml:space="preserve"> gdy</w:t>
            </w:r>
            <w:r w:rsidRPr="00D128EF">
              <w:rPr>
                <w:rFonts w:ascii="Arial" w:hAnsi="Arial" w:cs="Arial"/>
                <w:color w:val="FF0000"/>
                <w:sz w:val="20"/>
                <w:szCs w:val="20"/>
              </w:rPr>
              <w:t xml:space="preserve"> </w:t>
            </w:r>
            <w:r w:rsidRPr="00D128EF">
              <w:rPr>
                <w:rFonts w:ascii="Arial" w:hAnsi="Arial" w:cs="Arial"/>
                <w:color w:val="002060"/>
                <w:sz w:val="20"/>
                <w:szCs w:val="20"/>
              </w:rPr>
              <w:t xml:space="preserve">którego </w:t>
            </w:r>
            <w:r w:rsidRPr="00D128EF">
              <w:rPr>
                <w:rFonts w:ascii="Arial" w:hAnsi="Arial" w:cs="Arial"/>
                <w:sz w:val="20"/>
                <w:szCs w:val="20"/>
              </w:rPr>
              <w:t xml:space="preserve">sąd pierwszej instancji skazał go na karę pozbawienia wolności </w:t>
            </w:r>
            <w:r w:rsidRPr="00D128EF">
              <w:rPr>
                <w:rFonts w:ascii="Arial" w:hAnsi="Arial" w:cs="Arial"/>
                <w:strike/>
                <w:color w:val="FF0000"/>
                <w:sz w:val="20"/>
                <w:szCs w:val="20"/>
              </w:rPr>
              <w:t>nie niższą</w:t>
            </w:r>
            <w:r w:rsidRPr="00D128EF">
              <w:rPr>
                <w:rFonts w:ascii="Arial" w:hAnsi="Arial" w:cs="Arial"/>
                <w:color w:val="FF0000"/>
                <w:sz w:val="20"/>
                <w:szCs w:val="20"/>
              </w:rPr>
              <w:t xml:space="preserve"> </w:t>
            </w:r>
            <w:r w:rsidR="003F76E4" w:rsidRPr="00D128EF">
              <w:rPr>
                <w:rFonts w:ascii="Arial" w:hAnsi="Arial" w:cs="Arial"/>
                <w:color w:val="002060"/>
                <w:sz w:val="20"/>
                <w:szCs w:val="20"/>
              </w:rPr>
              <w:t xml:space="preserve">wyższą </w:t>
            </w:r>
            <w:r w:rsidRPr="00D128EF">
              <w:rPr>
                <w:rFonts w:ascii="Arial" w:hAnsi="Arial" w:cs="Arial"/>
                <w:sz w:val="20"/>
                <w:szCs w:val="20"/>
              </w:rPr>
              <w:t xml:space="preserve">niż 3 lata, </w:t>
            </w:r>
            <w:r w:rsidRPr="00D128EF">
              <w:rPr>
                <w:rFonts w:ascii="Arial" w:hAnsi="Arial" w:cs="Arial"/>
                <w:strike/>
                <w:color w:val="FF0000"/>
                <w:sz w:val="20"/>
                <w:szCs w:val="20"/>
              </w:rPr>
              <w:t>potrzeba zastosowania tymczasowego aresztowania w celu zabezpieczenia prawidłowego toku postępowania może być uzasadniona grożącą oskarżonemu surową karą</w:t>
            </w:r>
            <w:r w:rsidRPr="00D128EF">
              <w:rPr>
                <w:rFonts w:ascii="Arial" w:hAnsi="Arial" w:cs="Arial"/>
                <w:sz w:val="20"/>
                <w:szCs w:val="20"/>
              </w:rPr>
              <w:t>.</w:t>
            </w:r>
            <w:r w:rsidR="003F76E4" w:rsidRPr="00D128EF">
              <w:rPr>
                <w:rFonts w:ascii="Arial" w:hAnsi="Arial" w:cs="Arial"/>
                <w:sz w:val="20"/>
                <w:szCs w:val="20"/>
              </w:rPr>
              <w:t xml:space="preserve"> </w:t>
            </w:r>
            <w:r w:rsidR="003F76E4" w:rsidRPr="00D128EF">
              <w:rPr>
                <w:rFonts w:ascii="Arial" w:hAnsi="Arial" w:cs="Arial"/>
                <w:color w:val="002060"/>
                <w:sz w:val="20"/>
                <w:szCs w:val="20"/>
              </w:rPr>
              <w:t>obawy utrudniania prawidłowego toku postępowania, o których mowa w § 1, uzasadniające stosowanie środka zapobiegawczego, mogą wynikać także z surowości grożącej oskarżonemu kary.</w:t>
            </w:r>
          </w:p>
        </w:tc>
      </w:tr>
      <w:tr w:rsidR="00B5099B" w:rsidRPr="00D128EF" w14:paraId="5DA8782B" w14:textId="77777777" w:rsidTr="00522E6D">
        <w:tc>
          <w:tcPr>
            <w:tcW w:w="14029" w:type="dxa"/>
          </w:tcPr>
          <w:p w14:paraId="121F811A" w14:textId="304E5EA2" w:rsidR="00B5099B" w:rsidRPr="00D128EF" w:rsidRDefault="003F76E4" w:rsidP="00B5099B">
            <w:pPr>
              <w:ind w:firstLine="0"/>
              <w:jc w:val="left"/>
              <w:rPr>
                <w:rFonts w:ascii="Arial" w:hAnsi="Arial" w:cs="Arial"/>
                <w:sz w:val="20"/>
                <w:szCs w:val="20"/>
              </w:rPr>
            </w:pPr>
            <w:r w:rsidRPr="00D128EF">
              <w:rPr>
                <w:rFonts w:ascii="Arial" w:hAnsi="Arial" w:cs="Arial"/>
                <w:b/>
                <w:bCs/>
                <w:sz w:val="20"/>
                <w:szCs w:val="20"/>
              </w:rPr>
              <w:t>Art.</w:t>
            </w:r>
            <w:r w:rsidRPr="00D128EF">
              <w:rPr>
                <w:rFonts w:ascii="Arial" w:hAnsi="Arial" w:cs="Arial"/>
                <w:sz w:val="20"/>
                <w:szCs w:val="20"/>
              </w:rPr>
              <w:t xml:space="preserve"> </w:t>
            </w:r>
            <w:r w:rsidRPr="00D128EF">
              <w:rPr>
                <w:rFonts w:ascii="Arial" w:hAnsi="Arial" w:cs="Arial"/>
                <w:b/>
                <w:bCs/>
                <w:sz w:val="20"/>
                <w:szCs w:val="20"/>
              </w:rPr>
              <w:t xml:space="preserve">258 §  3. </w:t>
            </w:r>
            <w:r w:rsidRPr="00D128EF">
              <w:rPr>
                <w:rFonts w:ascii="Arial" w:hAnsi="Arial" w:cs="Arial"/>
                <w:sz w:val="20"/>
                <w:szCs w:val="20"/>
              </w:rPr>
              <w:t xml:space="preserve">Tymczasowe aresztowanie nie może być stosowane, jeżeli przestępstwo zagrożone jest karą pozbawienia wolności nieprzekraczającą </w:t>
            </w:r>
            <w:r w:rsidRPr="00D128EF">
              <w:rPr>
                <w:rFonts w:ascii="Arial" w:hAnsi="Arial" w:cs="Arial"/>
                <w:strike/>
                <w:color w:val="FF0000"/>
                <w:sz w:val="20"/>
                <w:szCs w:val="20"/>
              </w:rPr>
              <w:t>roku</w:t>
            </w:r>
            <w:r w:rsidRPr="00D128EF">
              <w:rPr>
                <w:rFonts w:ascii="Arial" w:hAnsi="Arial" w:cs="Arial"/>
                <w:color w:val="FF0000"/>
                <w:sz w:val="20"/>
                <w:szCs w:val="20"/>
              </w:rPr>
              <w:t xml:space="preserve"> </w:t>
            </w:r>
            <w:r w:rsidRPr="00D128EF">
              <w:rPr>
                <w:rFonts w:ascii="Arial" w:hAnsi="Arial" w:cs="Arial"/>
                <w:sz w:val="20"/>
                <w:szCs w:val="20"/>
              </w:rPr>
              <w:t>2</w:t>
            </w:r>
            <w:r w:rsidRPr="00D128EF">
              <w:rPr>
                <w:rFonts w:ascii="Arial" w:hAnsi="Arial" w:cs="Arial"/>
                <w:bCs/>
                <w:sz w:val="20"/>
                <w:szCs w:val="20"/>
              </w:rPr>
              <w:t xml:space="preserve"> </w:t>
            </w:r>
            <w:r w:rsidRPr="00D128EF">
              <w:rPr>
                <w:rFonts w:ascii="Arial" w:hAnsi="Arial" w:cs="Arial"/>
                <w:sz w:val="20"/>
                <w:szCs w:val="20"/>
              </w:rPr>
              <w:t>lat.</w:t>
            </w:r>
          </w:p>
        </w:tc>
      </w:tr>
      <w:tr w:rsidR="00EF7CE2" w:rsidRPr="00D128EF" w14:paraId="6EB3134A" w14:textId="77777777" w:rsidTr="00522E6D">
        <w:tc>
          <w:tcPr>
            <w:tcW w:w="14029" w:type="dxa"/>
          </w:tcPr>
          <w:p w14:paraId="4648B776" w14:textId="339AABA9" w:rsidR="00EF7CE2" w:rsidRPr="00D128EF" w:rsidRDefault="00EF7CE2" w:rsidP="003F76E4">
            <w:pPr>
              <w:ind w:firstLine="0"/>
              <w:rPr>
                <w:rFonts w:ascii="Arial" w:hAnsi="Arial" w:cs="Arial"/>
                <w:b/>
                <w:bCs/>
                <w:strike/>
                <w:color w:val="FF0000"/>
                <w:sz w:val="20"/>
                <w:szCs w:val="20"/>
              </w:rPr>
            </w:pPr>
            <w:r w:rsidRPr="00D128EF">
              <w:rPr>
                <w:rFonts w:ascii="Arial" w:hAnsi="Arial" w:cs="Arial"/>
                <w:b/>
                <w:bCs/>
                <w:strike/>
                <w:color w:val="FF0000"/>
                <w:sz w:val="20"/>
                <w:szCs w:val="20"/>
              </w:rPr>
              <w:lastRenderedPageBreak/>
              <w:t xml:space="preserve">Ar. 258a. </w:t>
            </w:r>
            <w:r w:rsidRPr="00D128EF">
              <w:rPr>
                <w:rFonts w:ascii="Arial" w:hAnsi="Arial" w:cs="Arial"/>
                <w:strike/>
                <w:color w:val="FF0000"/>
                <w:sz w:val="20"/>
                <w:szCs w:val="20"/>
              </w:rPr>
              <w:t>Jeżeli oskarżony uniemożliwia lub utrudnia wykonywanie zastosowanego wobec niego środka zapobiegawczego lub umyślnie naruszył obowiązek lub zakaz związany ze stosowaniem takiego środka, sąd lub prokurator stosuje środek zapobiegawczy gwarantujący skuteczną realizację celów jego stosowania.</w:t>
            </w:r>
          </w:p>
        </w:tc>
      </w:tr>
      <w:tr w:rsidR="003F76E4" w:rsidRPr="00D128EF" w14:paraId="3AF6AEF0" w14:textId="77777777" w:rsidTr="00522E6D">
        <w:tc>
          <w:tcPr>
            <w:tcW w:w="14029" w:type="dxa"/>
          </w:tcPr>
          <w:p w14:paraId="13DDB1B2" w14:textId="79B4E31D" w:rsidR="003F76E4" w:rsidRPr="00D128EF" w:rsidRDefault="003F76E4" w:rsidP="003F76E4">
            <w:pPr>
              <w:ind w:firstLine="0"/>
              <w:rPr>
                <w:rFonts w:ascii="Arial" w:hAnsi="Arial" w:cs="Arial"/>
                <w:color w:val="FF0000"/>
                <w:sz w:val="20"/>
                <w:szCs w:val="20"/>
              </w:rPr>
            </w:pPr>
            <w:r w:rsidRPr="00D128EF">
              <w:rPr>
                <w:rFonts w:ascii="Arial" w:hAnsi="Arial" w:cs="Arial"/>
                <w:b/>
                <w:bCs/>
                <w:color w:val="002060"/>
                <w:sz w:val="20"/>
                <w:szCs w:val="20"/>
              </w:rPr>
              <w:t>Art. 261 § 1a.</w:t>
            </w:r>
            <w:r w:rsidRPr="00D128EF">
              <w:rPr>
                <w:rFonts w:ascii="Arial" w:hAnsi="Arial" w:cs="Arial"/>
                <w:color w:val="002060"/>
                <w:sz w:val="20"/>
                <w:szCs w:val="20"/>
              </w:rPr>
              <w:t xml:space="preserve"> O zastosowaniu tymczasowego aresztowania wobec osoby, która nie ukończyła 18 lat, sąd jest obowiązany bezzwłocznie zawiadomić jej przedstawiciela ustawowego lub osobę, pod której pieczą oskarżony pozostaje, chyba że zawiadomienie tych osób może prowadzić do naruszenia praw lub interesów oskarżonego lub jest niecelowe ze względu na jego dobro. Jeżeli zawiadomienie tych osób nie jest możliwe albo dopuszczalne z uwagi na okoliczności wskazane powyżej, zawiadamia się inną osobę pełnoletnią, którą może wskazać oskarżony, albo innego członka rodziny, chyba że również nie jest to możliwe albo dopuszczalne z uwagi na okoliczności, o których mowa w zdaniu pierwszym. W takim wypadku zawiadamia się przedstawiciela organizacji społecznej lub instytucji zajmującej się ochroną praw i wolności osób, które nie ukończyły 18 lat.</w:t>
            </w:r>
          </w:p>
        </w:tc>
      </w:tr>
      <w:tr w:rsidR="00D128EF" w:rsidRPr="00D128EF" w14:paraId="7847D11D" w14:textId="77777777" w:rsidTr="00522E6D">
        <w:tc>
          <w:tcPr>
            <w:tcW w:w="14029" w:type="dxa"/>
          </w:tcPr>
          <w:p w14:paraId="1AEC9D52" w14:textId="7E896653" w:rsidR="00EC347E" w:rsidRPr="00EC347E" w:rsidRDefault="00EC347E" w:rsidP="003F76E4">
            <w:pPr>
              <w:ind w:firstLine="0"/>
              <w:rPr>
                <w:rFonts w:ascii="Arial" w:hAnsi="Arial" w:cs="Arial"/>
                <w:color w:val="FF0000"/>
                <w:sz w:val="20"/>
                <w:szCs w:val="20"/>
              </w:rPr>
            </w:pPr>
            <w:r w:rsidRPr="00EC347E">
              <w:rPr>
                <w:rFonts w:ascii="Arial" w:hAnsi="Arial" w:cs="Arial"/>
                <w:b/>
                <w:bCs/>
                <w:sz w:val="20"/>
                <w:szCs w:val="20"/>
              </w:rPr>
              <w:t>Art. 263 § 2.</w:t>
            </w:r>
            <w:r w:rsidRPr="00EC347E">
              <w:rPr>
                <w:rFonts w:ascii="Arial" w:hAnsi="Arial" w:cs="Arial"/>
                <w:sz w:val="20"/>
                <w:szCs w:val="20"/>
              </w:rPr>
              <w:t xml:space="preserve"> </w:t>
            </w:r>
            <w:r w:rsidRPr="00EC347E">
              <w:rPr>
                <w:rFonts w:ascii="Arial" w:hAnsi="Arial" w:cs="Arial"/>
                <w:strike/>
                <w:color w:val="FF0000"/>
                <w:sz w:val="20"/>
                <w:szCs w:val="20"/>
              </w:rPr>
              <w:t>Jeżeli ze względu na szczególne okoliczności sprawy nie można było ukończyć postępowania przygotowawczego w terminie określonym w § 1, na wniosek prokuratora, sąd pierwszej instancji właściwy do rozpoznania sprawy, gdy zachodzi tego potrzeba, może przedłużyć tymczasowe aresztowanie na okres, który łącznie nie może przekroczyć 12 miesięcy.</w:t>
            </w:r>
          </w:p>
          <w:p w14:paraId="28665140" w14:textId="15C753F5" w:rsidR="00D128EF" w:rsidRPr="00EC347E" w:rsidRDefault="00EC347E" w:rsidP="003F76E4">
            <w:pPr>
              <w:ind w:firstLine="0"/>
              <w:rPr>
                <w:rFonts w:ascii="Arial" w:hAnsi="Arial" w:cs="Arial"/>
                <w:color w:val="002060"/>
                <w:sz w:val="20"/>
                <w:szCs w:val="20"/>
              </w:rPr>
            </w:pPr>
            <w:r w:rsidRPr="00EC347E">
              <w:rPr>
                <w:rFonts w:ascii="Arial" w:hAnsi="Arial" w:cs="Arial"/>
                <w:color w:val="002060"/>
                <w:sz w:val="20"/>
                <w:szCs w:val="20"/>
              </w:rPr>
              <w:t>Sąd pierwszej instancji właściwy do rozpoznania sprawy może na wniosek prokuratora przedłużyć tymczasowe aresztowanie na okres, który łącznie nie może przekroczyć 12 miesięcy, jeżeli postępowanie przygotowawcze było prowadzone sprawnie, ale ze względu na szczególne okoliczności sprawy nie można było go ukończyć w terminie określonym w § 1. Oceniając sprawność prowadzenia postępowania przygotowawczego, sąd uwzględnia zwłaszcza stopień realizacji czynności procesowych wskazanych we wniosku o zastosowanie tymczasowego aresztowania i wcześniejszych wnioskach o przedłużenie tymczasowego aresztowania, a także powody, dla których określonych czynności dotąd nie wykonano lub nie ukończono.”,</w:t>
            </w:r>
          </w:p>
        </w:tc>
      </w:tr>
      <w:tr w:rsidR="00D128EF" w:rsidRPr="00D128EF" w14:paraId="034BBA46" w14:textId="77777777" w:rsidTr="00522E6D">
        <w:tc>
          <w:tcPr>
            <w:tcW w:w="14029" w:type="dxa"/>
          </w:tcPr>
          <w:p w14:paraId="305D3875" w14:textId="1612A4E7" w:rsidR="00D128EF" w:rsidRPr="00EC347E" w:rsidRDefault="00EC347E" w:rsidP="003F76E4">
            <w:pPr>
              <w:ind w:firstLine="0"/>
              <w:rPr>
                <w:rFonts w:ascii="Arial" w:hAnsi="Arial" w:cs="Arial"/>
                <w:sz w:val="20"/>
                <w:szCs w:val="20"/>
              </w:rPr>
            </w:pPr>
            <w:r w:rsidRPr="00EC347E">
              <w:rPr>
                <w:rFonts w:ascii="Arial" w:hAnsi="Arial" w:cs="Arial"/>
                <w:b/>
                <w:bCs/>
                <w:sz w:val="20"/>
                <w:szCs w:val="20"/>
              </w:rPr>
              <w:t>Art. 263 § 4.</w:t>
            </w:r>
            <w:r w:rsidRPr="00EC347E">
              <w:rPr>
                <w:rFonts w:ascii="Arial" w:hAnsi="Arial" w:cs="Arial"/>
                <w:sz w:val="20"/>
                <w:szCs w:val="20"/>
              </w:rPr>
              <w:t xml:space="preserve"> Przedłużenia stosowania tymczasowego aresztowania na okres oznaczony, przekraczający terminy określone w § 2 i 3 może dokonać sąd apelacyjny, w którego okręgu prowadzi się postępowanie na wniosek sądu, przed którym sprawa się toczy, a w postępowaniu przygotowawczym na wniosek właściwego prokuratora bezpośrednio przełożonego wobec prokuratora prowadzącego lub nadzorującego śledztwo - jeżeli konieczność taka powstaje w związku z zawieszeniem postępowania karnego, czynnościami zmierzającymi do ustalenia lub potwierdzenia tożsamości oskarżonego, wykonywaniem czynności dowodowych w sprawie o szczególnej zawiłości lub poza granicami kraju, a także celowym przewlekaniem postępowania przez oskarżonego.</w:t>
            </w:r>
            <w:r>
              <w:t xml:space="preserve"> </w:t>
            </w:r>
            <w:r w:rsidRPr="00EC347E">
              <w:rPr>
                <w:rFonts w:ascii="Arial" w:hAnsi="Arial" w:cs="Arial"/>
                <w:color w:val="002060"/>
                <w:sz w:val="20"/>
                <w:szCs w:val="20"/>
              </w:rPr>
              <w:t>Przepis § 2 zdanie drugie stosuje się odpowiednio</w:t>
            </w:r>
            <w:r>
              <w:rPr>
                <w:rFonts w:ascii="Arial" w:hAnsi="Arial" w:cs="Arial"/>
                <w:color w:val="002060"/>
                <w:sz w:val="20"/>
                <w:szCs w:val="20"/>
              </w:rPr>
              <w:t>.</w:t>
            </w:r>
          </w:p>
        </w:tc>
      </w:tr>
      <w:tr w:rsidR="00D128EF" w:rsidRPr="00D128EF" w14:paraId="73341868" w14:textId="77777777" w:rsidTr="00522E6D">
        <w:tc>
          <w:tcPr>
            <w:tcW w:w="14029" w:type="dxa"/>
          </w:tcPr>
          <w:p w14:paraId="62FBDC02" w14:textId="01FBE8FF" w:rsidR="00D128EF" w:rsidRPr="00D128EF" w:rsidRDefault="00D128EF" w:rsidP="003F76E4">
            <w:pPr>
              <w:ind w:firstLine="0"/>
              <w:rPr>
                <w:rFonts w:ascii="Arial" w:hAnsi="Arial" w:cs="Arial"/>
                <w:b/>
                <w:bCs/>
                <w:color w:val="002060"/>
                <w:sz w:val="20"/>
                <w:szCs w:val="20"/>
              </w:rPr>
            </w:pPr>
            <w:r w:rsidRPr="00D128EF">
              <w:rPr>
                <w:rFonts w:ascii="Arial" w:hAnsi="Arial" w:cs="Arial"/>
                <w:b/>
                <w:bCs/>
                <w:color w:val="002060"/>
                <w:sz w:val="20"/>
                <w:szCs w:val="20"/>
              </w:rPr>
              <w:t xml:space="preserve">Art. 263 § 4c. </w:t>
            </w:r>
            <w:r w:rsidRPr="00D128EF">
              <w:rPr>
                <w:rFonts w:ascii="Arial" w:hAnsi="Arial" w:cs="Arial"/>
                <w:color w:val="002060"/>
                <w:sz w:val="20"/>
                <w:szCs w:val="20"/>
              </w:rPr>
              <w:t>Stosowanie tymczasowego aresztowania na podstawie art. 258 § 2 do czasu wydania wyroku przez sąd pierwszej instancji nie może przekroczyć 12 miesięcy.</w:t>
            </w:r>
          </w:p>
        </w:tc>
      </w:tr>
      <w:tr w:rsidR="00D128EF" w:rsidRPr="00D128EF" w14:paraId="5FC5D98F" w14:textId="77777777" w:rsidTr="00522E6D">
        <w:tc>
          <w:tcPr>
            <w:tcW w:w="14029" w:type="dxa"/>
          </w:tcPr>
          <w:p w14:paraId="78DA0A30" w14:textId="2710ED6D" w:rsidR="00D128EF" w:rsidRPr="00D128EF" w:rsidRDefault="00D128EF" w:rsidP="003F76E4">
            <w:pPr>
              <w:ind w:firstLine="0"/>
              <w:rPr>
                <w:rFonts w:ascii="Arial" w:hAnsi="Arial" w:cs="Arial"/>
                <w:b/>
                <w:bCs/>
                <w:sz w:val="20"/>
                <w:szCs w:val="20"/>
              </w:rPr>
            </w:pPr>
            <w:r w:rsidRPr="00D128EF">
              <w:rPr>
                <w:rFonts w:ascii="Arial" w:hAnsi="Arial" w:cs="Arial"/>
                <w:b/>
                <w:bCs/>
                <w:sz w:val="20"/>
                <w:szCs w:val="20"/>
              </w:rPr>
              <w:t xml:space="preserve">Art. 263 § 8. </w:t>
            </w:r>
            <w:r w:rsidRPr="00D128EF">
              <w:rPr>
                <w:rFonts w:ascii="Arial" w:hAnsi="Arial" w:cs="Arial"/>
                <w:sz w:val="20"/>
                <w:szCs w:val="20"/>
              </w:rPr>
              <w:t>Minister Sprawiedliwości określi, w drodze rozporządzenia, wzór pouczenia o przysługujących oskarżonemu w wypadku zastosowania tymczasowego aresztowania uprawnieniach: do składania wyjaśnień, do odmowy składania wyjaśnień lub odmowy odpowiedzi na pytania, do informacji o treści stawianych zarzutów, do przeglądania akt w części zawierającej treść dowodów wskazanych we wniosku o tymczasowe aresztowanie, do dostępu do pierwszej pomocy medycznej, jak również uprawnieniach wskazanych w art. 72 § 1, art. 78 § 1, art. 78a § 1, art. 249 § 5, art. 252, art. 254 § 1 i 2, art. 261 § 1, 1a, 2 i 2a oraz art. 612 § 1, mając na względzie konieczność zrozumienia pouczenia także przez osoby niekorzystające z pomocy obrońcy.</w:t>
            </w:r>
          </w:p>
        </w:tc>
      </w:tr>
      <w:tr w:rsidR="00D128EF" w:rsidRPr="00D128EF" w14:paraId="3B3588DA" w14:textId="77777777" w:rsidTr="00522E6D">
        <w:tc>
          <w:tcPr>
            <w:tcW w:w="14029" w:type="dxa"/>
          </w:tcPr>
          <w:p w14:paraId="29B260BA" w14:textId="3A70ABC2" w:rsidR="00D128EF" w:rsidRPr="00D128EF" w:rsidRDefault="00D128EF" w:rsidP="003F76E4">
            <w:pPr>
              <w:ind w:firstLine="0"/>
              <w:rPr>
                <w:rFonts w:ascii="Arial" w:hAnsi="Arial" w:cs="Arial"/>
                <w:b/>
                <w:bCs/>
                <w:strike/>
                <w:color w:val="FF0000"/>
                <w:sz w:val="20"/>
                <w:szCs w:val="20"/>
              </w:rPr>
            </w:pPr>
            <w:r w:rsidRPr="00D128EF">
              <w:rPr>
                <w:rFonts w:ascii="Arial" w:hAnsi="Arial" w:cs="Arial"/>
                <w:b/>
                <w:bCs/>
                <w:strike/>
                <w:color w:val="FF0000"/>
                <w:sz w:val="20"/>
                <w:szCs w:val="20"/>
              </w:rPr>
              <w:t>Art. 266 § 1a.</w:t>
            </w:r>
            <w:r w:rsidRPr="00D128EF">
              <w:rPr>
                <w:rFonts w:ascii="Arial" w:hAnsi="Arial" w:cs="Arial"/>
                <w:strike/>
                <w:color w:val="FF0000"/>
                <w:sz w:val="20"/>
                <w:szCs w:val="20"/>
              </w:rPr>
              <w:t xml:space="preserve"> Przedmiot poręczenia majątkowego nie może pochodzić z przysporzenia na rzecz oskarżonego albo innej osoby składającej poręczenie dokonanego na ten cel. Sąd albo prokurator może uzależnić przyjęcie przedmiotu poręczenia majątkowego od wykazania przez osobę składającą poręczenie źródła pochodzenia tego przedmiotu. </w:t>
            </w:r>
            <w:r w:rsidRPr="00D128EF">
              <w:rPr>
                <w:rFonts w:ascii="Arial" w:hAnsi="Arial" w:cs="Arial"/>
                <w:color w:val="FF0000"/>
                <w:sz w:val="20"/>
                <w:szCs w:val="20"/>
              </w:rPr>
              <w:t>W postępowaniu przygotowawczym przyjęcia przedmiotu poręczenia majątkowego dokonuje prokurator.</w:t>
            </w:r>
            <w:r w:rsidRPr="00D128EF">
              <w:rPr>
                <w:rFonts w:ascii="Arial" w:hAnsi="Arial" w:cs="Arial"/>
                <w:strike/>
                <w:color w:val="FF0000"/>
                <w:sz w:val="20"/>
                <w:szCs w:val="20"/>
              </w:rPr>
              <w:t xml:space="preserve"> Oświadczenie w przedmiocie źródła pochodzenia przedmiotu poręczenia majątkowego osoba składająca poręczenie składa pod rygorem odpowiedzialności karnej, o czym należy ją uprzedzić. </w:t>
            </w:r>
            <w:r w:rsidRPr="00D128EF">
              <w:rPr>
                <w:rFonts w:ascii="Arial" w:hAnsi="Arial" w:cs="Arial"/>
                <w:sz w:val="20"/>
                <w:szCs w:val="20"/>
              </w:rPr>
              <w:t xml:space="preserve"> </w:t>
            </w:r>
            <w:r w:rsidRPr="00D128EF">
              <w:rPr>
                <w:rFonts w:ascii="Arial" w:hAnsi="Arial" w:cs="Arial"/>
                <w:color w:val="002060"/>
                <w:sz w:val="20"/>
                <w:szCs w:val="20"/>
              </w:rPr>
              <w:t>W razie zastosowania poręczenia majątkowego w postępowaniu przygotowawczym przez sąd przyjęcia przedmiotu tego poręczenia dokonuje prokurator.</w:t>
            </w:r>
          </w:p>
        </w:tc>
      </w:tr>
      <w:tr w:rsidR="00EC347E" w:rsidRPr="00D128EF" w14:paraId="4B4C73C6" w14:textId="77777777" w:rsidTr="00522E6D">
        <w:tc>
          <w:tcPr>
            <w:tcW w:w="14029" w:type="dxa"/>
          </w:tcPr>
          <w:p w14:paraId="59A5DE42" w14:textId="5EAC2E54" w:rsidR="00EC347E" w:rsidRPr="00EC347E" w:rsidRDefault="00EC347E" w:rsidP="003F76E4">
            <w:pPr>
              <w:ind w:firstLine="0"/>
              <w:rPr>
                <w:rFonts w:ascii="Arial" w:hAnsi="Arial" w:cs="Arial"/>
                <w:strike/>
                <w:color w:val="FF0000"/>
                <w:sz w:val="20"/>
                <w:szCs w:val="20"/>
              </w:rPr>
            </w:pPr>
            <w:r w:rsidRPr="00EC347E">
              <w:rPr>
                <w:rFonts w:ascii="Arial" w:hAnsi="Arial" w:cs="Arial"/>
                <w:b/>
                <w:bCs/>
                <w:strike/>
                <w:color w:val="FF0000"/>
                <w:sz w:val="20"/>
                <w:szCs w:val="20"/>
              </w:rPr>
              <w:t>Art. 266 § 3.</w:t>
            </w:r>
            <w:r>
              <w:rPr>
                <w:rFonts w:ascii="Arial" w:hAnsi="Arial" w:cs="Arial"/>
                <w:strike/>
                <w:color w:val="FF0000"/>
                <w:sz w:val="20"/>
                <w:szCs w:val="20"/>
              </w:rPr>
              <w:t xml:space="preserve"> </w:t>
            </w:r>
            <w:r w:rsidRPr="00EC347E">
              <w:rPr>
                <w:rFonts w:ascii="Arial" w:hAnsi="Arial" w:cs="Arial"/>
                <w:strike/>
                <w:color w:val="FF0000"/>
                <w:sz w:val="20"/>
                <w:szCs w:val="20"/>
              </w:rPr>
              <w:t>Na postanowienie prokuratora o odmowie przyjęcia przedmiotu zastosowanego przez sąd poręczenia majątkowego zażalenie przysługuje podejrzanemu i osobie składającej poręczenie. Zażalenie rozpoznaje sąd wyższego rzędu nad sądem, który zastosował poręczenie majątkowe. Jeżeli poręczenie majątkowe zastosował sąd apelacyjny, zażalenie rozpoznaje ten sąd w składzie trzech sędziów.</w:t>
            </w:r>
          </w:p>
        </w:tc>
      </w:tr>
      <w:tr w:rsidR="00D128EF" w:rsidRPr="00D128EF" w14:paraId="292AE3DA" w14:textId="77777777" w:rsidTr="00522E6D">
        <w:tc>
          <w:tcPr>
            <w:tcW w:w="14029" w:type="dxa"/>
          </w:tcPr>
          <w:p w14:paraId="04807198" w14:textId="48413C73" w:rsidR="00D128EF" w:rsidRPr="00D128EF" w:rsidRDefault="00D128EF" w:rsidP="00D128EF">
            <w:pPr>
              <w:ind w:firstLine="0"/>
              <w:rPr>
                <w:rFonts w:ascii="Arial" w:hAnsi="Arial" w:cs="Arial"/>
                <w:strike/>
                <w:color w:val="FF0000"/>
                <w:sz w:val="20"/>
                <w:szCs w:val="20"/>
              </w:rPr>
            </w:pPr>
            <w:r w:rsidRPr="00D128EF">
              <w:rPr>
                <w:rFonts w:ascii="Arial" w:hAnsi="Arial" w:cs="Arial"/>
                <w:b/>
                <w:bCs/>
                <w:strike/>
                <w:color w:val="FF0000"/>
                <w:sz w:val="20"/>
                <w:szCs w:val="20"/>
              </w:rPr>
              <w:t xml:space="preserve">Art. 276a §  1. </w:t>
            </w:r>
            <w:r w:rsidRPr="00D128EF">
              <w:rPr>
                <w:rFonts w:ascii="Arial" w:hAnsi="Arial" w:cs="Arial"/>
                <w:b/>
                <w:bCs/>
                <w:strike/>
                <w:color w:val="FF0000"/>
                <w:sz w:val="20"/>
                <w:szCs w:val="20"/>
              </w:rPr>
              <w:tab/>
            </w:r>
            <w:r w:rsidRPr="00D128EF">
              <w:rPr>
                <w:rFonts w:ascii="Arial" w:hAnsi="Arial" w:cs="Arial"/>
                <w:strike/>
                <w:color w:val="FF0000"/>
                <w:sz w:val="20"/>
                <w:szCs w:val="20"/>
              </w:rPr>
              <w:t>Tytułem środka zapobiegawczego można orzec wobec oskarżonego o przestępstwo popełnione w stosunku do członka personelu medycznego, w związku z wykonywaniem przez niego czynności opieki medycznej lub osoby przybranej personelowi medycznemu do pomocy w związku z wykonywaniem tych czynności, zakaz zbliżania się do pokrzywdzonego na wskazaną odległość, zakaz kontaktów lub zakaz publikacji, w tym za pośrednictwem systemów informatycznych lub sieci telekomunikacyjnych treści godzących w prawnie chronione dobra pokrzywdzonego.</w:t>
            </w:r>
          </w:p>
          <w:p w14:paraId="4E92969B" w14:textId="77777777" w:rsidR="00D128EF"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lastRenderedPageBreak/>
              <w:t xml:space="preserve">§  1a. </w:t>
            </w:r>
            <w:r w:rsidRPr="00D128EF">
              <w:rPr>
                <w:rFonts w:ascii="Arial" w:hAnsi="Arial" w:cs="Arial"/>
                <w:strike/>
                <w:color w:val="FF0000"/>
                <w:sz w:val="20"/>
                <w:szCs w:val="20"/>
              </w:rPr>
              <w:tab/>
              <w:t>Środek zapobiegawczy, o którym mowa w § 1, można orzec również wobec oskarżonego o przestępstwo, o którym mowa w art. 190a ustawy z dnia 6 czerwca 1997 r. - Kodeks karny, popełnione z powodu wykonywanego przez pokrzywdzonego zawodu.</w:t>
            </w:r>
          </w:p>
          <w:p w14:paraId="68A88F99" w14:textId="77777777" w:rsidR="00D128EF"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t xml:space="preserve">§  2. </w:t>
            </w:r>
            <w:r w:rsidRPr="00D128EF">
              <w:rPr>
                <w:rFonts w:ascii="Arial" w:hAnsi="Arial" w:cs="Arial"/>
                <w:strike/>
                <w:color w:val="FF0000"/>
                <w:sz w:val="20"/>
                <w:szCs w:val="20"/>
              </w:rPr>
              <w:tab/>
              <w:t>Zakazy, o których mowa w § 1, mogą być połączone z określeniem poręczenia majątkowego. Do poręczenia majątkowego zastosowanie mają przepisy art. 266-270, z tym że stanowiące przedmiot poręczenia wartości majątkowe lub zobowiązania ulegają przepadkowi albo ściągnięciu również w razie niezastosowania się do zakazów o których mowa w § 1.</w:t>
            </w:r>
          </w:p>
          <w:p w14:paraId="2599D1E0" w14:textId="77777777" w:rsidR="00D128EF"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t xml:space="preserve">§  3. </w:t>
            </w:r>
            <w:r w:rsidRPr="00D128EF">
              <w:rPr>
                <w:rFonts w:ascii="Arial" w:hAnsi="Arial" w:cs="Arial"/>
                <w:strike/>
                <w:color w:val="FF0000"/>
                <w:sz w:val="20"/>
                <w:szCs w:val="20"/>
              </w:rPr>
              <w:tab/>
              <w:t>Zakaz publikacji treści godzących w prawnie chronione dobra pokrzywdzonego, o którym mowa w § 1, obejmuje zakaz publikowania i innego udostępniania tych treści niezależnie od tego, czy zostały wytworzone przez oskarżonego czy inną osobę, za pośrednictwem internetowych portali, stanowiących usługę świadczoną drogą elektroniczną w rozumieniu ustawy z dnia 18 lipca 2002 r. o świadczeniu usług drogą elektroniczną.</w:t>
            </w:r>
          </w:p>
          <w:p w14:paraId="19154A6E" w14:textId="77777777" w:rsidR="00D128EF"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t xml:space="preserve">§  4. </w:t>
            </w:r>
            <w:r w:rsidRPr="00D128EF">
              <w:rPr>
                <w:rFonts w:ascii="Arial" w:hAnsi="Arial" w:cs="Arial"/>
                <w:strike/>
                <w:color w:val="FF0000"/>
                <w:sz w:val="20"/>
                <w:szCs w:val="20"/>
              </w:rPr>
              <w:tab/>
              <w:t>Czas stosowania zakazów o których mowa w § 1, określa się przy uwzględnieniu potrzeb w zakresie zabezpieczenia prawidłowego biegu postępowania karnego oraz zapewnienia odpowiedniej ochrony pokrzywdzonemu lub osobom dla niego najbliższym.</w:t>
            </w:r>
          </w:p>
          <w:p w14:paraId="5BBAD283" w14:textId="60D51F72" w:rsidR="00D128EF" w:rsidRPr="00D128EF" w:rsidRDefault="00D128EF" w:rsidP="00D128EF">
            <w:pPr>
              <w:ind w:firstLine="0"/>
              <w:rPr>
                <w:rFonts w:ascii="Arial" w:hAnsi="Arial" w:cs="Arial"/>
                <w:sz w:val="20"/>
                <w:szCs w:val="20"/>
              </w:rPr>
            </w:pPr>
            <w:r w:rsidRPr="00D128EF">
              <w:rPr>
                <w:rFonts w:ascii="Arial" w:hAnsi="Arial" w:cs="Arial"/>
                <w:strike/>
                <w:color w:val="FF0000"/>
                <w:sz w:val="20"/>
                <w:szCs w:val="20"/>
              </w:rPr>
              <w:t xml:space="preserve">§  5. </w:t>
            </w:r>
            <w:r w:rsidRPr="00D128EF">
              <w:rPr>
                <w:rFonts w:ascii="Arial" w:hAnsi="Arial" w:cs="Arial"/>
                <w:strike/>
                <w:color w:val="FF0000"/>
                <w:sz w:val="20"/>
                <w:szCs w:val="20"/>
              </w:rPr>
              <w:tab/>
              <w:t>Przedłużenie stosowania zakazu na dalszy okres, przekraczający łącznie 6 miesięcy, w postępowaniu przygotowawczym może dokonać, na wniosek prokuratora, sąd rejonowy, w okręgu którego prowadzone jest postępowanie.</w:t>
            </w:r>
          </w:p>
        </w:tc>
      </w:tr>
      <w:tr w:rsidR="00D128EF" w:rsidRPr="00D128EF" w14:paraId="7BCF7844" w14:textId="77777777" w:rsidTr="00522E6D">
        <w:tc>
          <w:tcPr>
            <w:tcW w:w="14029" w:type="dxa"/>
          </w:tcPr>
          <w:p w14:paraId="399748C5" w14:textId="59812E87" w:rsidR="00D128EF" w:rsidRPr="00EB3430" w:rsidRDefault="00D128EF" w:rsidP="00D128EF">
            <w:pPr>
              <w:ind w:firstLine="0"/>
              <w:rPr>
                <w:rFonts w:ascii="Arial" w:hAnsi="Arial" w:cs="Arial"/>
                <w:sz w:val="20"/>
                <w:szCs w:val="20"/>
              </w:rPr>
            </w:pPr>
            <w:r w:rsidRPr="00D128EF">
              <w:rPr>
                <w:rFonts w:ascii="Arial" w:hAnsi="Arial" w:cs="Arial"/>
                <w:b/>
                <w:bCs/>
                <w:sz w:val="20"/>
                <w:szCs w:val="20"/>
              </w:rPr>
              <w:lastRenderedPageBreak/>
              <w:t>Art. 278.</w:t>
            </w:r>
            <w:r w:rsidRPr="00D128EF">
              <w:rPr>
                <w:rFonts w:ascii="Arial" w:hAnsi="Arial" w:cs="Arial"/>
                <w:sz w:val="20"/>
                <w:szCs w:val="20"/>
              </w:rPr>
              <w:t xml:space="preserve"> Jeżeli miejsce pobytu oskarżonego lub osoby </w:t>
            </w:r>
            <w:r w:rsidRPr="00D128EF">
              <w:rPr>
                <w:rFonts w:ascii="Arial" w:hAnsi="Arial" w:cs="Arial"/>
                <w:strike/>
                <w:color w:val="FF0000"/>
                <w:sz w:val="20"/>
                <w:szCs w:val="20"/>
              </w:rPr>
              <w:t>podejrzanej</w:t>
            </w:r>
            <w:r w:rsidRPr="00D128EF">
              <w:rPr>
                <w:rFonts w:ascii="Arial" w:hAnsi="Arial" w:cs="Arial"/>
                <w:color w:val="FF0000"/>
                <w:sz w:val="20"/>
                <w:szCs w:val="20"/>
              </w:rPr>
              <w:t xml:space="preserve"> </w:t>
            </w:r>
            <w:r w:rsidRPr="00D128EF">
              <w:rPr>
                <w:rFonts w:ascii="Arial" w:hAnsi="Arial" w:cs="Arial"/>
              </w:rPr>
              <w:t xml:space="preserve"> </w:t>
            </w:r>
            <w:r w:rsidRPr="00D128EF">
              <w:rPr>
                <w:rFonts w:ascii="Arial" w:hAnsi="Arial" w:cs="Arial"/>
                <w:color w:val="FF0000"/>
                <w:sz w:val="20"/>
                <w:szCs w:val="20"/>
              </w:rPr>
              <w:t>osoby</w:t>
            </w:r>
            <w:r w:rsidRPr="00D128EF">
              <w:rPr>
                <w:rFonts w:ascii="Arial" w:hAnsi="Arial" w:cs="Arial"/>
                <w:color w:val="002060"/>
                <w:sz w:val="20"/>
                <w:szCs w:val="20"/>
              </w:rPr>
              <w:t xml:space="preserve">, co do której istnieje uzasadnione podejrzenie popełnienia przez nią przestępstwa </w:t>
            </w:r>
            <w:r w:rsidRPr="00D128EF">
              <w:rPr>
                <w:rFonts w:ascii="Arial" w:hAnsi="Arial" w:cs="Arial"/>
                <w:sz w:val="20"/>
                <w:szCs w:val="20"/>
              </w:rPr>
              <w:t>nie jest znane, zarządza się jego poszukiwanie. Przepis art. 247 stosuje się odpowiednio.</w:t>
            </w:r>
          </w:p>
        </w:tc>
      </w:tr>
      <w:tr w:rsidR="00E717B3" w:rsidRPr="00D128EF" w14:paraId="1AE5187B" w14:textId="77777777" w:rsidTr="00522E6D">
        <w:tc>
          <w:tcPr>
            <w:tcW w:w="14029" w:type="dxa"/>
          </w:tcPr>
          <w:p w14:paraId="53706BD1" w14:textId="316FBBB3" w:rsidR="00E717B3" w:rsidRPr="00D128EF" w:rsidRDefault="00E717B3" w:rsidP="003F76E4">
            <w:pPr>
              <w:ind w:firstLine="0"/>
              <w:rPr>
                <w:rFonts w:ascii="Arial" w:hAnsi="Arial" w:cs="Arial"/>
                <w:sz w:val="20"/>
                <w:szCs w:val="20"/>
              </w:rPr>
            </w:pPr>
            <w:r w:rsidRPr="00D128EF">
              <w:rPr>
                <w:rFonts w:ascii="Arial" w:hAnsi="Arial" w:cs="Arial"/>
                <w:b/>
                <w:bCs/>
                <w:sz w:val="20"/>
                <w:szCs w:val="20"/>
              </w:rPr>
              <w:t>Art. 300 § 1.</w:t>
            </w:r>
            <w:r w:rsidRPr="00D128EF">
              <w:rPr>
                <w:rFonts w:ascii="Arial" w:hAnsi="Arial" w:cs="Arial"/>
                <w:sz w:val="20"/>
                <w:szCs w:val="20"/>
              </w:rPr>
              <w:t xml:space="preserve"> Przed pierwszym przesłuchaniem poucza się podejrzanego o jego uprawnieniach: do składania wyjaśnień, do odmowy składania wyjaśnień lub odmowy odpowiedzi na pytania, do informacji o treści zarzutów i ich zmianach, do składania wniosków o dokonanie czynności śledztwa lub dochodzenia, do korzystania z pomocy obrońcy, w tym do wystąpienia o obrońcę z urzędu w wypadku określonym w art. 78 i art. 78a, oraz o treści </w:t>
            </w:r>
            <w:r w:rsidRPr="00D128EF">
              <w:rPr>
                <w:rFonts w:ascii="Arial" w:hAnsi="Arial" w:cs="Arial"/>
                <w:color w:val="002060"/>
                <w:sz w:val="20"/>
                <w:szCs w:val="20"/>
              </w:rPr>
              <w:t xml:space="preserve">art. 171 § 7a, </w:t>
            </w:r>
            <w:r w:rsidRPr="00D128EF">
              <w:rPr>
                <w:rFonts w:ascii="Arial" w:hAnsi="Arial" w:cs="Arial"/>
                <w:sz w:val="20"/>
                <w:szCs w:val="20"/>
              </w:rPr>
              <w:t xml:space="preserve"> art. </w:t>
            </w:r>
            <w:r w:rsidRPr="00D128EF">
              <w:rPr>
                <w:rFonts w:ascii="Arial" w:hAnsi="Arial" w:cs="Arial"/>
                <w:color w:val="002060"/>
                <w:sz w:val="20"/>
                <w:szCs w:val="20"/>
              </w:rPr>
              <w:t xml:space="preserve"> </w:t>
            </w:r>
            <w:r w:rsidRPr="00D128EF">
              <w:rPr>
                <w:rFonts w:ascii="Arial" w:hAnsi="Arial" w:cs="Arial"/>
                <w:sz w:val="20"/>
                <w:szCs w:val="20"/>
              </w:rPr>
              <w:t>202, art. 214, art. 215, art. 257 § 1 i 2, art. 259, art. 316, art. 338b, art. 360, art. 361 i art. 374 § 1, o treści przepisów dotyczących środków zapobiegawczych, o których mowa w rozdziale 28, innych niż tymczasowe aresztowanie, o uprawnieniu do końcowego zaznajomienia z materiałami postępowania przygotowawczego, jak również o uprawnieniach określonych w art. 23a § 1, art. 72 § 1, art. 156 § 5 i 5a, art. 301, art. 335, art. 338a i art. 387 oraz o obowiązkach i konsekwencjach wskazanych w art. 74, art. 75, art. 133 § 2, art. 138 i art. 139. Ponadto podejrzanego, który nie ukończył 18 lat, poucza się o treści art. 76, art. 76a i art. 299b oraz o treści art. 212 Kodeksu karnego wykonawczego, a także o roli organów uczestniczących w postępowaniu karnym. Pouczenie należy wręczyć podejrzanemu na piśmie; podejrzany otrzymanie pouczenia potwierdza podpisem. Jeżeli podejrzany nie ukończył 18 lat to pouczenie wręcza się również przedstawicielowi ustawowemu lub osobie, pod której pieczą podejrzany pozostaje, albo innej osobie wskazanej albo wyznaczonej, o której mowa w art. 76a, która otrzymanie pouczenia potwierdza podpisem.</w:t>
            </w:r>
          </w:p>
        </w:tc>
      </w:tr>
      <w:tr w:rsidR="00E717B3" w:rsidRPr="00D128EF" w14:paraId="30D227C9" w14:textId="77777777" w:rsidTr="00522E6D">
        <w:tc>
          <w:tcPr>
            <w:tcW w:w="14029" w:type="dxa"/>
          </w:tcPr>
          <w:p w14:paraId="31706A76" w14:textId="652A19B9" w:rsidR="00D128EF"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t>Art. 281 §  2. W postępowaniu przygotowawczym list żelazny może być wydany na wniosek prokuratora albo przy braku jego sprzeciwu.</w:t>
            </w:r>
          </w:p>
          <w:p w14:paraId="41FD632A" w14:textId="1B29CC2A" w:rsidR="00E717B3" w:rsidRPr="00D128EF" w:rsidRDefault="00D128EF" w:rsidP="00D128EF">
            <w:pPr>
              <w:ind w:firstLine="0"/>
              <w:rPr>
                <w:rFonts w:ascii="Arial" w:hAnsi="Arial" w:cs="Arial"/>
                <w:strike/>
                <w:color w:val="FF0000"/>
                <w:sz w:val="20"/>
                <w:szCs w:val="20"/>
              </w:rPr>
            </w:pPr>
            <w:r w:rsidRPr="00D128EF">
              <w:rPr>
                <w:rFonts w:ascii="Arial" w:hAnsi="Arial" w:cs="Arial"/>
                <w:strike/>
                <w:color w:val="FF0000"/>
                <w:sz w:val="20"/>
                <w:szCs w:val="20"/>
              </w:rPr>
              <w:t>§  3. Udział prokuratora w posiedzeniu w przedmiocie wydania listu żelaznego jest obowiązkowy.</w:t>
            </w:r>
          </w:p>
        </w:tc>
      </w:tr>
      <w:tr w:rsidR="00E717B3" w:rsidRPr="00D128EF" w14:paraId="2F4E5B9E" w14:textId="77777777" w:rsidTr="00522E6D">
        <w:tc>
          <w:tcPr>
            <w:tcW w:w="14029" w:type="dxa"/>
          </w:tcPr>
          <w:p w14:paraId="37861E8A" w14:textId="49B3F598" w:rsidR="00E717B3" w:rsidRPr="00D128EF" w:rsidRDefault="00D128EF" w:rsidP="003F76E4">
            <w:pPr>
              <w:ind w:firstLine="0"/>
              <w:rPr>
                <w:rFonts w:ascii="Arial" w:hAnsi="Arial" w:cs="Arial"/>
                <w:sz w:val="20"/>
                <w:szCs w:val="20"/>
              </w:rPr>
            </w:pPr>
            <w:r w:rsidRPr="00D128EF">
              <w:rPr>
                <w:rFonts w:ascii="Arial" w:hAnsi="Arial" w:cs="Arial"/>
                <w:b/>
                <w:bCs/>
                <w:sz w:val="20"/>
                <w:szCs w:val="20"/>
              </w:rPr>
              <w:t>Art. 295.</w:t>
            </w:r>
            <w:r w:rsidRPr="00D128EF">
              <w:rPr>
                <w:rFonts w:ascii="Arial" w:hAnsi="Arial" w:cs="Arial"/>
                <w:sz w:val="20"/>
                <w:szCs w:val="20"/>
              </w:rPr>
              <w:t xml:space="preserve"> </w:t>
            </w:r>
            <w:r w:rsidR="00E717B3" w:rsidRPr="00E717B3">
              <w:rPr>
                <w:rFonts w:ascii="Arial" w:hAnsi="Arial" w:cs="Arial"/>
                <w:sz w:val="20"/>
                <w:szCs w:val="20"/>
              </w:rPr>
              <w:t xml:space="preserve">W razie popełnienia przestępstwa, o którym mowa w art. 291, Policja może dokonać tymczasowego zajęcia mienia ruchomego osoby </w:t>
            </w:r>
            <w:r w:rsidR="00E717B3" w:rsidRPr="00E717B3">
              <w:rPr>
                <w:rFonts w:ascii="Arial" w:hAnsi="Arial" w:cs="Arial"/>
                <w:strike/>
                <w:color w:val="FF0000"/>
                <w:sz w:val="20"/>
                <w:szCs w:val="20"/>
              </w:rPr>
              <w:t>podejrzanej</w:t>
            </w:r>
            <w:r w:rsidR="00E717B3" w:rsidRPr="00E717B3">
              <w:rPr>
                <w:rFonts w:ascii="Arial" w:hAnsi="Arial" w:cs="Arial"/>
                <w:sz w:val="20"/>
                <w:szCs w:val="20"/>
              </w:rPr>
              <w:t xml:space="preserve">, </w:t>
            </w:r>
            <w:r w:rsidRPr="00D128EF">
              <w:rPr>
                <w:rFonts w:ascii="Arial" w:hAnsi="Arial" w:cs="Arial"/>
              </w:rPr>
              <w:t xml:space="preserve"> </w:t>
            </w:r>
            <w:r w:rsidRPr="00D128EF">
              <w:rPr>
                <w:rFonts w:ascii="Arial" w:hAnsi="Arial" w:cs="Arial"/>
                <w:color w:val="002060"/>
                <w:sz w:val="20"/>
                <w:szCs w:val="20"/>
              </w:rPr>
              <w:t xml:space="preserve">co do której istnieje uzasadnione podejrzenie popełnienia przez nią przestępstwa, </w:t>
            </w:r>
            <w:r w:rsidR="00E717B3" w:rsidRPr="00E717B3">
              <w:rPr>
                <w:rFonts w:ascii="Arial" w:hAnsi="Arial" w:cs="Arial"/>
                <w:sz w:val="20"/>
                <w:szCs w:val="20"/>
              </w:rPr>
              <w:t>jeżeli zachodzi obawa usunięcia tego mienia.</w:t>
            </w:r>
          </w:p>
        </w:tc>
      </w:tr>
      <w:tr w:rsidR="00187D70" w:rsidRPr="00D128EF" w14:paraId="3425E461" w14:textId="77777777" w:rsidTr="00522E6D">
        <w:tc>
          <w:tcPr>
            <w:tcW w:w="14029" w:type="dxa"/>
          </w:tcPr>
          <w:p w14:paraId="2442DD06" w14:textId="419AF9E0" w:rsidR="00187D70" w:rsidRPr="00D128EF" w:rsidRDefault="00187D70" w:rsidP="003F76E4">
            <w:pPr>
              <w:ind w:firstLine="0"/>
              <w:rPr>
                <w:rFonts w:ascii="Arial" w:hAnsi="Arial" w:cs="Arial"/>
                <w:color w:val="002060"/>
                <w:sz w:val="20"/>
                <w:szCs w:val="20"/>
              </w:rPr>
            </w:pPr>
            <w:r w:rsidRPr="00D128EF">
              <w:rPr>
                <w:rFonts w:ascii="Arial" w:hAnsi="Arial" w:cs="Arial"/>
                <w:b/>
                <w:bCs/>
                <w:color w:val="002060"/>
                <w:sz w:val="20"/>
                <w:szCs w:val="20"/>
              </w:rPr>
              <w:t>Art. 300 § 1a.</w:t>
            </w:r>
            <w:r w:rsidRPr="00D128EF">
              <w:rPr>
                <w:rFonts w:ascii="Arial" w:hAnsi="Arial" w:cs="Arial"/>
                <w:color w:val="002060"/>
                <w:sz w:val="20"/>
                <w:szCs w:val="20"/>
              </w:rPr>
              <w:t xml:space="preserve"> Przed pierwszym przesłuchaniem poucza się podejrzanego, który nie włada w wystarczającym stopniu językiem polskim, o uprawnieniach określonych w art. 72 § 1, 2, 3 i 4, jak również o prawie do zgłaszania zastrzeżeń dotyczących jakości otrzymanego tłumaczenia. Przepis § 1 zdanie trzecie i czwarte stosuje się.</w:t>
            </w:r>
          </w:p>
        </w:tc>
      </w:tr>
      <w:tr w:rsidR="00E717B3" w:rsidRPr="00D128EF" w14:paraId="61146A06" w14:textId="77777777" w:rsidTr="00522E6D">
        <w:tc>
          <w:tcPr>
            <w:tcW w:w="14029" w:type="dxa"/>
          </w:tcPr>
          <w:p w14:paraId="314C8EF0" w14:textId="109603D5" w:rsidR="00E717B3" w:rsidRPr="00D128EF" w:rsidRDefault="00E717B3" w:rsidP="00187D70">
            <w:pPr>
              <w:ind w:firstLine="0"/>
              <w:rPr>
                <w:rFonts w:ascii="Arial" w:hAnsi="Arial" w:cs="Arial"/>
                <w:b/>
                <w:bCs/>
                <w:color w:val="002060"/>
                <w:sz w:val="20"/>
                <w:szCs w:val="20"/>
              </w:rPr>
            </w:pPr>
            <w:r w:rsidRPr="00D128EF">
              <w:rPr>
                <w:rFonts w:ascii="Arial" w:hAnsi="Arial" w:cs="Arial"/>
                <w:b/>
                <w:bCs/>
                <w:color w:val="002060"/>
                <w:sz w:val="20"/>
                <w:szCs w:val="20"/>
              </w:rPr>
              <w:t>Art. 300 § 1b.</w:t>
            </w:r>
            <w:r w:rsidRPr="00D128EF">
              <w:rPr>
                <w:rFonts w:ascii="Arial" w:hAnsi="Arial" w:cs="Arial"/>
                <w:color w:val="002060"/>
                <w:sz w:val="20"/>
                <w:szCs w:val="20"/>
              </w:rPr>
              <w:t xml:space="preserve"> Przed pierwszym przesłuchaniem poucza się podejrzanego, który jest głuchy lub niemy o uprawnieniu określonym w art. 72 § 2a, jak również o prawie do zgłaszania zastrzeżeń dotyczących jakości otrzymanego tłumaczenia. Przepis § 1 zdanie trzecie i czwarte stosuje się.</w:t>
            </w:r>
          </w:p>
        </w:tc>
      </w:tr>
      <w:tr w:rsidR="00187D70" w:rsidRPr="00D128EF" w14:paraId="35E703D6" w14:textId="77777777" w:rsidTr="00522E6D">
        <w:tc>
          <w:tcPr>
            <w:tcW w:w="14029" w:type="dxa"/>
          </w:tcPr>
          <w:p w14:paraId="04A3FA6A" w14:textId="50C4B64C" w:rsidR="00187D70" w:rsidRPr="00D128EF" w:rsidRDefault="00187D70" w:rsidP="003F76E4">
            <w:pPr>
              <w:ind w:firstLine="0"/>
              <w:rPr>
                <w:rFonts w:ascii="Arial" w:hAnsi="Arial" w:cs="Arial"/>
                <w:sz w:val="20"/>
                <w:szCs w:val="20"/>
              </w:rPr>
            </w:pPr>
            <w:r w:rsidRPr="00D128EF">
              <w:rPr>
                <w:rFonts w:ascii="Arial" w:hAnsi="Arial" w:cs="Arial"/>
                <w:b/>
                <w:bCs/>
                <w:sz w:val="20"/>
                <w:szCs w:val="20"/>
              </w:rPr>
              <w:t>Art. 301 § 1.</w:t>
            </w:r>
            <w:r w:rsidRPr="00D128EF">
              <w:rPr>
                <w:rFonts w:ascii="Arial" w:hAnsi="Arial" w:cs="Arial"/>
                <w:sz w:val="20"/>
                <w:szCs w:val="20"/>
              </w:rPr>
              <w:t xml:space="preserve"> </w:t>
            </w:r>
            <w:r w:rsidRPr="00D128EF">
              <w:rPr>
                <w:rFonts w:ascii="Arial" w:hAnsi="Arial" w:cs="Arial"/>
                <w:strike/>
                <w:color w:val="FF0000"/>
                <w:sz w:val="20"/>
                <w:szCs w:val="20"/>
              </w:rPr>
              <w:t xml:space="preserve">Na żądanie podejrzanego należy </w:t>
            </w:r>
            <w:r w:rsidRPr="00D128EF">
              <w:rPr>
                <w:rFonts w:ascii="Arial" w:hAnsi="Arial" w:cs="Arial"/>
                <w:color w:val="FF0000"/>
                <w:sz w:val="20"/>
                <w:szCs w:val="20"/>
              </w:rPr>
              <w:t xml:space="preserve">przesłuchać go </w:t>
            </w:r>
            <w:r w:rsidRPr="00D128EF">
              <w:rPr>
                <w:rFonts w:ascii="Arial" w:hAnsi="Arial" w:cs="Arial"/>
                <w:color w:val="FF0000"/>
              </w:rPr>
              <w:t xml:space="preserve"> </w:t>
            </w:r>
            <w:r w:rsidRPr="00D128EF">
              <w:rPr>
                <w:rFonts w:ascii="Arial" w:hAnsi="Arial" w:cs="Arial"/>
                <w:color w:val="002060"/>
                <w:sz w:val="20"/>
                <w:szCs w:val="20"/>
              </w:rPr>
              <w:t xml:space="preserve">Przesłuchanie podejrzanego odbywa się na jego żądanie </w:t>
            </w:r>
            <w:r w:rsidRPr="00D128EF">
              <w:rPr>
                <w:rFonts w:ascii="Arial" w:hAnsi="Arial" w:cs="Arial"/>
                <w:sz w:val="20"/>
                <w:szCs w:val="20"/>
              </w:rPr>
              <w:t xml:space="preserve">z udziałem ustanowionego obrońcy. </w:t>
            </w:r>
            <w:r w:rsidRPr="00D128EF">
              <w:rPr>
                <w:rFonts w:ascii="Arial" w:hAnsi="Arial" w:cs="Arial"/>
              </w:rPr>
              <w:t xml:space="preserve"> </w:t>
            </w:r>
            <w:r w:rsidRPr="00D128EF">
              <w:rPr>
                <w:rFonts w:ascii="Arial" w:hAnsi="Arial" w:cs="Arial"/>
                <w:strike/>
                <w:color w:val="FF0000"/>
                <w:sz w:val="20"/>
                <w:szCs w:val="20"/>
              </w:rPr>
              <w:t>Niestawiennictwo obrońcy nie tamuje przesłuchania</w:t>
            </w:r>
            <w:r w:rsidRPr="00D128EF">
              <w:rPr>
                <w:rFonts w:ascii="Arial" w:hAnsi="Arial" w:cs="Arial"/>
                <w:sz w:val="20"/>
                <w:szCs w:val="20"/>
              </w:rPr>
              <w:t>.</w:t>
            </w:r>
          </w:p>
          <w:p w14:paraId="6351DE82"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2. Jeżeli podejrzany, pouczony o prawie do żądania udziału obrońcy w pierwszym przesłuchaniu, oświadczy, że rezygnuje z tego prawa, niezwłocznie przystępuje się do przesłuchania, odnotowując w protokole rezygnację podejrzanego z tego prawa.</w:t>
            </w:r>
          </w:p>
          <w:p w14:paraId="56D2130B"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3. Jeżeli podejrzany w związku z pierwszym przesłuchaniem oświadczy, że chce skorzystać z pomocy obrońcy, umożliwia się mu ustanowienie obrońcy, odraczając przystąpienie do przesłuchania do czasu stawienia się obrońcy, jednak na okres nieprzekraczający 3 godzin od momentu złożenia takiego oświadczenia, chyba że organ procesowy uzna za zasadne odroczenie przystąpienia do przesłuchania na okres dłuższy. Podejrzanemu udostępnia się listę obrońców pełniących dyżur. Po stawieniu się obrońcy organ procesowy umożliwia podejrzanemu rozmowę z obrońcą, zakreślając jednocześnie odpowiedni czas, nie krótszy niż godzina.</w:t>
            </w:r>
          </w:p>
          <w:p w14:paraId="54316376"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lastRenderedPageBreak/>
              <w:t>§ 4. W wezwaniu do stawiennictwa na przesłuchanie należy podejrzanego pouczyć o prawie do ustanowienia obrońcy. W takim wypadku przepisu § 3 nie stosuje się.</w:t>
            </w:r>
          </w:p>
          <w:p w14:paraId="05C1973D"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5. Jeżeli podejrzany pozbawiony wolności, w związku z pierwszym przesłuchaniem złoży wniosek o wyznaczenie mu obrońcy z urzędu na podstawie art. 78 § 1, organ procesowy przeprowadzający przesłuchanie wyznacza obrońcę z urzędu z listy obrońców pełniących dyżur. W miarę możliwości jako obrońcę wyznacza się adwokata lub radcę prawnego, który podejrzanemu udzielił pomocy prawnej w trybie art. 245 § 2. Przepis § 3 zdanie trzecie stosuje się odpowiednio.</w:t>
            </w:r>
          </w:p>
          <w:p w14:paraId="6ED3ABD1"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6. Przepis § 5 stosuje się odpowiednio przed przesłuchaniem podejrzanego, o którym mowa w art. 79 § 1, który nie ustanowił obrońcy, a wyznaczenie obrońcy z urzędu w trybie określonym w art. 81 § 1 nie jest możliwe przed przystąpieniem do tego przesłuchania.</w:t>
            </w:r>
          </w:p>
          <w:p w14:paraId="497354A8"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7. Przepisy wydane na podstawie art. 245 § 5 stosuje się odpowiednio w wypadkach, o których mowa w § 3, 5 i 6.</w:t>
            </w:r>
          </w:p>
          <w:p w14:paraId="688381E0"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8. W wyjątkowych wypadkach, jeżeli jest to konieczne ze względu na zapobiegnięcie zagrożeniu dla życia, zdrowia lub wolności osoby lub ze względu na ważny interes śledztwa lub dochodzenia, można niezwłocznie przystąpić do pierwszego przesłuchania podejrzanego, nawet jeżeli oświadczy, że chce skorzystać z pomocy obrońcy. W protokole przesłuchania umieszcza się informację o przyczynach odmowy umożliwienia kontaktu z obrońcą.</w:t>
            </w:r>
          </w:p>
          <w:p w14:paraId="181A6E35"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9. W przypadku usprawiedliwionego niestawiennictwa obrońcy na kolejne przesłuchanie podejrzanego przepisy § 2 i 8 stosuje się odpowiednio. Ograniczenie, o którym mowa w § 8 nie może być stosowane po upływie 14 dni od przedstawienia podejrzanemu zarzutów.</w:t>
            </w:r>
          </w:p>
          <w:p w14:paraId="49029615" w14:textId="77777777" w:rsidR="00187D70" w:rsidRPr="00D128EF" w:rsidRDefault="00187D70" w:rsidP="00187D70">
            <w:pPr>
              <w:ind w:firstLine="0"/>
              <w:rPr>
                <w:rFonts w:ascii="Arial" w:hAnsi="Arial" w:cs="Arial"/>
                <w:color w:val="002060"/>
                <w:sz w:val="20"/>
                <w:szCs w:val="20"/>
              </w:rPr>
            </w:pPr>
            <w:r w:rsidRPr="00D128EF">
              <w:rPr>
                <w:rFonts w:ascii="Arial" w:hAnsi="Arial" w:cs="Arial"/>
                <w:color w:val="002060"/>
                <w:sz w:val="20"/>
                <w:szCs w:val="20"/>
              </w:rPr>
              <w:t>§ 10. Nieusprawiedliwione niestawiennictwo obrońcy na kolejne przesłuchanie podejrzanego nie tamuje tej czynności.</w:t>
            </w:r>
          </w:p>
          <w:p w14:paraId="7ECDBD60" w14:textId="034491A1" w:rsidR="00187D70" w:rsidRPr="00D128EF" w:rsidRDefault="00187D70" w:rsidP="00187D70">
            <w:pPr>
              <w:ind w:firstLine="0"/>
              <w:rPr>
                <w:rFonts w:ascii="Arial" w:hAnsi="Arial" w:cs="Arial"/>
                <w:sz w:val="20"/>
                <w:szCs w:val="20"/>
              </w:rPr>
            </w:pPr>
            <w:r w:rsidRPr="00D128EF">
              <w:rPr>
                <w:rFonts w:ascii="Arial" w:hAnsi="Arial" w:cs="Arial"/>
                <w:color w:val="002060"/>
                <w:sz w:val="20"/>
                <w:szCs w:val="20"/>
              </w:rPr>
              <w:t>§ 11. Przepisy § 1–8 oraz art. 300 § 1, 1a i 1b stosuje się odpowiednio do okazania podejrzanego przeprowadzanego przed pierwszym przesłuchaniem w charakterze podejrzanego. Przed okazaniem należy poinformować podejrzanego o zarzucie, w związku z którym okazanie ma być przeprowadzone.</w:t>
            </w:r>
          </w:p>
        </w:tc>
      </w:tr>
      <w:tr w:rsidR="00BA7359" w:rsidRPr="00D128EF" w14:paraId="29EBE675" w14:textId="77777777" w:rsidTr="00522E6D">
        <w:tc>
          <w:tcPr>
            <w:tcW w:w="14029" w:type="dxa"/>
          </w:tcPr>
          <w:p w14:paraId="3101B790" w14:textId="45636AF9" w:rsidR="00BA7359" w:rsidRPr="00D128EF" w:rsidRDefault="00BA7359" w:rsidP="003F76E4">
            <w:pPr>
              <w:ind w:firstLine="0"/>
              <w:rPr>
                <w:rFonts w:ascii="Arial" w:hAnsi="Arial" w:cs="Arial"/>
                <w:color w:val="002060"/>
                <w:sz w:val="20"/>
                <w:szCs w:val="20"/>
              </w:rPr>
            </w:pPr>
            <w:r w:rsidRPr="00D128EF">
              <w:rPr>
                <w:rFonts w:ascii="Arial" w:hAnsi="Arial" w:cs="Arial"/>
                <w:b/>
                <w:bCs/>
                <w:color w:val="002060"/>
                <w:sz w:val="20"/>
                <w:szCs w:val="20"/>
              </w:rPr>
              <w:lastRenderedPageBreak/>
              <w:t>Art. 301a.</w:t>
            </w:r>
            <w:r w:rsidRPr="00D128EF">
              <w:rPr>
                <w:rFonts w:ascii="Arial" w:hAnsi="Arial" w:cs="Arial"/>
                <w:color w:val="002060"/>
                <w:sz w:val="20"/>
                <w:szCs w:val="20"/>
              </w:rPr>
              <w:t xml:space="preserve"> Udział obrońcy w przesłuchaniu podejrzanego, który nie ukończył 18 lat, jest obowiązkowy. Przepis art. 301 § 6 stosuje się. Przepisy art. 301 § 3 zdanie trzecie, § 8, § 9 zdanie drugie i § 11 stosuje się odpowiednio.</w:t>
            </w:r>
          </w:p>
        </w:tc>
      </w:tr>
      <w:tr w:rsidR="00BA7359" w:rsidRPr="00D128EF" w14:paraId="6F7871CD" w14:textId="77777777" w:rsidTr="00522E6D">
        <w:tc>
          <w:tcPr>
            <w:tcW w:w="14029" w:type="dxa"/>
          </w:tcPr>
          <w:p w14:paraId="584348D3" w14:textId="7A33E838" w:rsidR="00BA7359" w:rsidRPr="00D128EF" w:rsidRDefault="00BA7359" w:rsidP="00BA7359">
            <w:pPr>
              <w:ind w:firstLine="0"/>
              <w:rPr>
                <w:rFonts w:ascii="Arial" w:hAnsi="Arial" w:cs="Arial"/>
                <w:sz w:val="20"/>
                <w:szCs w:val="20"/>
              </w:rPr>
            </w:pPr>
            <w:r w:rsidRPr="00D128EF">
              <w:rPr>
                <w:rFonts w:ascii="Arial" w:hAnsi="Arial" w:cs="Arial"/>
                <w:b/>
                <w:bCs/>
                <w:sz w:val="20"/>
                <w:szCs w:val="20"/>
              </w:rPr>
              <w:t>Art. 308 §  1.</w:t>
            </w:r>
            <w:r w:rsidRPr="00D128EF">
              <w:rPr>
                <w:rFonts w:ascii="Arial" w:hAnsi="Arial" w:cs="Arial"/>
                <w:sz w:val="20"/>
                <w:szCs w:val="20"/>
              </w:rPr>
              <w:t xml:space="preserve"> W granicach koniecznych dla zabezpieczenia śladów i dowodów przestępstwa przed ich utratą, zniekształceniem lub zniszczeniem, prokurator albo Policja może w każdej sprawie, w wypadkach niecierpiących zwłoki, jeszcze przed wydaniem postanowienia o wszczęciu śledztwa lub dochodzenia, przeprowadzić w niezbędnym zakresie czynności procesowe, a zwłaszcza dokonać oględzin, w razie potrzeby z udziałem biegłego, przeszukania lub czynności wymienionych w art. 74 § 2 pkt 1 w stosunku do osoby </w:t>
            </w:r>
            <w:r w:rsidRPr="00D128EF">
              <w:rPr>
                <w:rFonts w:ascii="Arial" w:hAnsi="Arial" w:cs="Arial"/>
                <w:strike/>
                <w:color w:val="FF0000"/>
                <w:sz w:val="20"/>
                <w:szCs w:val="20"/>
              </w:rPr>
              <w:t xml:space="preserve">podejrzanej </w:t>
            </w:r>
            <w:r w:rsidRPr="00D128EF">
              <w:rPr>
                <w:rFonts w:ascii="Arial" w:hAnsi="Arial" w:cs="Arial"/>
                <w:color w:val="002060"/>
                <w:sz w:val="20"/>
                <w:szCs w:val="20"/>
              </w:rPr>
              <w:t>co do której istnieje uzasadnione podejrzenie popełnienia przez nią przestępstwa</w:t>
            </w:r>
            <w:r w:rsidRPr="00D128EF">
              <w:rPr>
                <w:rFonts w:ascii="Arial" w:hAnsi="Arial" w:cs="Arial"/>
                <w:sz w:val="20"/>
                <w:szCs w:val="20"/>
              </w:rPr>
              <w:t>, a także przedsięwziąć wobec niej inne niezbędne czynności, nie wyłączając pobrania krwi, włosów i wydzielin organizmu. Po dokonaniu tych czynności, w sprawach, w których prowadzenie śledztwa przez prokuratora jest obowiązkowe, prowadzący postępowanie przekazuje sprawę niezwłocznie prokuratorowi.</w:t>
            </w:r>
          </w:p>
          <w:p w14:paraId="2DBAB9D8" w14:textId="0996670D" w:rsidR="00BA7359" w:rsidRPr="00D128EF" w:rsidRDefault="00BA7359" w:rsidP="00BA7359">
            <w:pPr>
              <w:ind w:firstLine="0"/>
              <w:rPr>
                <w:rFonts w:ascii="Arial" w:hAnsi="Arial" w:cs="Arial"/>
                <w:sz w:val="20"/>
                <w:szCs w:val="20"/>
              </w:rPr>
            </w:pPr>
            <w:r w:rsidRPr="00D128EF">
              <w:rPr>
                <w:rFonts w:ascii="Arial" w:hAnsi="Arial" w:cs="Arial"/>
                <w:sz w:val="20"/>
                <w:szCs w:val="20"/>
              </w:rPr>
              <w:t xml:space="preserve">§  2. W wypadkach niecierpiących zwłoki, w szczególności wtedy, gdy mogłoby to spowodować zatarcie śladów lub dowodów przestępstwa, można w toku czynności wymienionych w § 1 przesłuchać </w:t>
            </w:r>
            <w:r w:rsidRPr="00D128EF">
              <w:rPr>
                <w:rFonts w:ascii="Arial" w:hAnsi="Arial" w:cs="Arial"/>
                <w:strike/>
                <w:color w:val="FF0000"/>
                <w:sz w:val="20"/>
                <w:szCs w:val="20"/>
              </w:rPr>
              <w:t xml:space="preserve">osobę </w:t>
            </w:r>
            <w:r w:rsidRPr="00D128EF">
              <w:rPr>
                <w:rFonts w:ascii="Arial" w:hAnsi="Arial" w:cs="Arial"/>
                <w:color w:val="FF0000"/>
                <w:sz w:val="20"/>
                <w:szCs w:val="20"/>
              </w:rPr>
              <w:t xml:space="preserve">podejrzaną o popełnienie przestępstwa w charakterze </w:t>
            </w:r>
            <w:r w:rsidRPr="00D128EF">
              <w:rPr>
                <w:rFonts w:ascii="Arial" w:hAnsi="Arial" w:cs="Arial"/>
                <w:sz w:val="20"/>
                <w:szCs w:val="20"/>
              </w:rPr>
              <w:t>podejrzanego przed wydaniem postanowienia o przedstawieniu zarzutów, jeżeli zachodzą warunki do sporządzenia takiego postanowienia. Przesłuchanie rozpoczyna się od informacji o treści zarzutu.</w:t>
            </w:r>
          </w:p>
        </w:tc>
      </w:tr>
      <w:tr w:rsidR="00BA7359" w:rsidRPr="00D128EF" w14:paraId="07D61F2E" w14:textId="77777777" w:rsidTr="00522E6D">
        <w:tc>
          <w:tcPr>
            <w:tcW w:w="14029" w:type="dxa"/>
          </w:tcPr>
          <w:p w14:paraId="398D9692" w14:textId="30EA4A38" w:rsidR="00BA7359" w:rsidRPr="00D128EF" w:rsidRDefault="00BA7359" w:rsidP="003F76E4">
            <w:pPr>
              <w:ind w:firstLine="0"/>
              <w:rPr>
                <w:rFonts w:ascii="Arial" w:hAnsi="Arial" w:cs="Arial"/>
                <w:sz w:val="20"/>
                <w:szCs w:val="20"/>
              </w:rPr>
            </w:pPr>
            <w:r w:rsidRPr="00D128EF">
              <w:rPr>
                <w:rFonts w:ascii="Arial" w:hAnsi="Arial" w:cs="Arial"/>
                <w:b/>
                <w:bCs/>
                <w:sz w:val="20"/>
                <w:szCs w:val="20"/>
              </w:rPr>
              <w:t>Art. 310 § 2.</w:t>
            </w:r>
            <w:r w:rsidRPr="00D128EF">
              <w:rPr>
                <w:rFonts w:ascii="Arial" w:hAnsi="Arial" w:cs="Arial"/>
                <w:sz w:val="20"/>
                <w:szCs w:val="20"/>
              </w:rPr>
              <w:t xml:space="preserve"> W uzasadnionych wypadkach okres śledztwa może być przedłużony na dalszy czas oznaczony </w:t>
            </w:r>
            <w:r w:rsidRPr="00D128EF">
              <w:rPr>
                <w:rFonts w:ascii="Arial" w:hAnsi="Arial" w:cs="Arial"/>
                <w:b/>
                <w:bCs/>
                <w:color w:val="002060"/>
                <w:sz w:val="20"/>
                <w:szCs w:val="20"/>
              </w:rPr>
              <w:t xml:space="preserve"> </w:t>
            </w:r>
            <w:r w:rsidRPr="00D128EF">
              <w:rPr>
                <w:rFonts w:ascii="Arial" w:hAnsi="Arial" w:cs="Arial"/>
                <w:color w:val="002060"/>
                <w:sz w:val="20"/>
                <w:szCs w:val="20"/>
              </w:rPr>
              <w:t>nie dłuższy jednak niż rok</w:t>
            </w:r>
            <w:r w:rsidRPr="00D128EF">
              <w:rPr>
                <w:rFonts w:ascii="Arial" w:hAnsi="Arial" w:cs="Arial"/>
                <w:b/>
                <w:bCs/>
                <w:color w:val="002060"/>
                <w:sz w:val="20"/>
                <w:szCs w:val="20"/>
              </w:rPr>
              <w:t xml:space="preserve">, </w:t>
            </w:r>
            <w:r w:rsidRPr="00D128EF">
              <w:rPr>
                <w:rFonts w:ascii="Arial" w:hAnsi="Arial" w:cs="Arial"/>
                <w:sz w:val="20"/>
                <w:szCs w:val="20"/>
              </w:rPr>
              <w:t xml:space="preserve">przez </w:t>
            </w:r>
            <w:r w:rsidRPr="00D128EF">
              <w:rPr>
                <w:rFonts w:ascii="Arial" w:hAnsi="Arial" w:cs="Arial"/>
                <w:strike/>
                <w:color w:val="FF0000"/>
                <w:sz w:val="20"/>
                <w:szCs w:val="20"/>
              </w:rPr>
              <w:t>prokuratora nadzorującego śledztwo lub</w:t>
            </w:r>
            <w:r w:rsidRPr="00D128EF">
              <w:rPr>
                <w:rFonts w:ascii="Arial" w:hAnsi="Arial" w:cs="Arial"/>
                <w:color w:val="FF0000"/>
                <w:sz w:val="20"/>
                <w:szCs w:val="20"/>
              </w:rPr>
              <w:t xml:space="preserve"> </w:t>
            </w:r>
            <w:r w:rsidRPr="00D128EF">
              <w:rPr>
                <w:rFonts w:ascii="Arial" w:hAnsi="Arial" w:cs="Arial"/>
                <w:sz w:val="20"/>
                <w:szCs w:val="20"/>
              </w:rPr>
              <w:t xml:space="preserve">prokuratora bezpośrednio przełożonego wobec prokuratora, który prowadzi śledztwo, </w:t>
            </w:r>
            <w:r w:rsidRPr="00D128EF">
              <w:rPr>
                <w:rFonts w:ascii="Arial" w:hAnsi="Arial" w:cs="Arial"/>
                <w:b/>
                <w:bCs/>
                <w:color w:val="002060"/>
                <w:sz w:val="20"/>
                <w:szCs w:val="20"/>
              </w:rPr>
              <w:t xml:space="preserve"> </w:t>
            </w:r>
            <w:r w:rsidRPr="00D128EF">
              <w:rPr>
                <w:rFonts w:ascii="Arial" w:hAnsi="Arial" w:cs="Arial"/>
                <w:color w:val="002060"/>
                <w:sz w:val="20"/>
                <w:szCs w:val="20"/>
              </w:rPr>
              <w:t>a w przypadku jego powierzenia Policji do prowadzenia w całości, przez prokuratora, który bezpośrednio je nadzoruje</w:t>
            </w:r>
            <w:r w:rsidRPr="00D128EF">
              <w:rPr>
                <w:rFonts w:ascii="Arial" w:hAnsi="Arial" w:cs="Arial"/>
                <w:strike/>
                <w:color w:val="FF0000"/>
                <w:sz w:val="20"/>
                <w:szCs w:val="20"/>
              </w:rPr>
              <w:t xml:space="preserve"> nie dłuższy jednak niż rok.</w:t>
            </w:r>
            <w:r w:rsidRPr="00D128EF">
              <w:rPr>
                <w:rFonts w:ascii="Arial" w:hAnsi="Arial" w:cs="Arial"/>
                <w:color w:val="FF0000"/>
                <w:sz w:val="20"/>
                <w:szCs w:val="20"/>
              </w:rPr>
              <w:t xml:space="preserve"> </w:t>
            </w:r>
            <w:r w:rsidRPr="00D128EF">
              <w:rPr>
                <w:rFonts w:ascii="Arial" w:hAnsi="Arial" w:cs="Arial"/>
                <w:sz w:val="20"/>
                <w:szCs w:val="20"/>
              </w:rPr>
              <w:t xml:space="preserve">W szczególnie uzasadnionych wypadkach właściwy prokurator </w:t>
            </w:r>
            <w:r w:rsidRPr="00D128EF">
              <w:rPr>
                <w:rFonts w:ascii="Arial" w:hAnsi="Arial" w:cs="Arial"/>
                <w:strike/>
                <w:color w:val="FF0000"/>
                <w:sz w:val="20"/>
                <w:szCs w:val="20"/>
              </w:rPr>
              <w:t>nadrzędny</w:t>
            </w:r>
            <w:r w:rsidRPr="00D128EF">
              <w:rPr>
                <w:rFonts w:ascii="Arial" w:hAnsi="Arial" w:cs="Arial"/>
                <w:color w:val="FF0000"/>
                <w:sz w:val="20"/>
                <w:szCs w:val="20"/>
              </w:rPr>
              <w:t xml:space="preserve"> </w:t>
            </w:r>
            <w:r w:rsidRPr="00D128EF">
              <w:rPr>
                <w:rFonts w:ascii="Arial" w:hAnsi="Arial" w:cs="Arial"/>
                <w:color w:val="002060"/>
                <w:sz w:val="20"/>
                <w:szCs w:val="20"/>
              </w:rPr>
              <w:t xml:space="preserve">bezpośrednio przełożony </w:t>
            </w:r>
            <w:r w:rsidRPr="00D128EF">
              <w:rPr>
                <w:rFonts w:ascii="Arial" w:hAnsi="Arial" w:cs="Arial"/>
                <w:sz w:val="20"/>
                <w:szCs w:val="20"/>
              </w:rPr>
              <w:t>nad prokuratorem nadzorującym lub prowadzącym śledztwo może przedłużyć jego okres na dalszy czas oznaczony.</w:t>
            </w:r>
          </w:p>
        </w:tc>
      </w:tr>
      <w:tr w:rsidR="007C6D6C" w:rsidRPr="00D128EF" w14:paraId="644D5E70" w14:textId="77777777" w:rsidTr="00522E6D">
        <w:tc>
          <w:tcPr>
            <w:tcW w:w="14029" w:type="dxa"/>
          </w:tcPr>
          <w:p w14:paraId="4F575464" w14:textId="7F903120" w:rsidR="007C6D6C" w:rsidRPr="00D128EF" w:rsidRDefault="007C6D6C" w:rsidP="007C6D6C">
            <w:pPr>
              <w:ind w:firstLine="0"/>
              <w:rPr>
                <w:rFonts w:ascii="Arial" w:hAnsi="Arial" w:cs="Arial"/>
                <w:sz w:val="20"/>
                <w:szCs w:val="20"/>
              </w:rPr>
            </w:pPr>
            <w:r w:rsidRPr="00D128EF">
              <w:rPr>
                <w:rFonts w:ascii="Arial" w:hAnsi="Arial" w:cs="Arial"/>
                <w:b/>
                <w:bCs/>
                <w:sz w:val="20"/>
                <w:szCs w:val="20"/>
              </w:rPr>
              <w:t>Art. 313 §  1.</w:t>
            </w:r>
            <w:r w:rsidRPr="00D128EF">
              <w:rPr>
                <w:rFonts w:ascii="Arial" w:hAnsi="Arial" w:cs="Arial"/>
                <w:sz w:val="20"/>
                <w:szCs w:val="20"/>
              </w:rPr>
              <w:t xml:space="preserve"> Jeżeli dane istniejące w chwili wszczęcia śledztwa lub zebrane w jego toku uzasadniają dostatecznie podejrzenie, że czyn popełniła określona osoba, </w:t>
            </w:r>
            <w:r w:rsidRPr="00D128EF">
              <w:rPr>
                <w:rFonts w:ascii="Arial" w:hAnsi="Arial" w:cs="Arial"/>
                <w:color w:val="002060"/>
              </w:rPr>
              <w:t xml:space="preserve"> </w:t>
            </w:r>
            <w:r w:rsidRPr="00D128EF">
              <w:rPr>
                <w:rFonts w:ascii="Arial" w:hAnsi="Arial" w:cs="Arial"/>
                <w:sz w:val="20"/>
                <w:szCs w:val="20"/>
              </w:rPr>
              <w:t xml:space="preserve"> </w:t>
            </w:r>
            <w:r w:rsidRPr="00D128EF">
              <w:rPr>
                <w:rFonts w:ascii="Arial" w:hAnsi="Arial" w:cs="Arial"/>
                <w:strike/>
                <w:color w:val="FF0000"/>
                <w:sz w:val="20"/>
                <w:szCs w:val="20"/>
              </w:rPr>
              <w:t>wydaje się</w:t>
            </w:r>
            <w:r w:rsidRPr="00D128EF">
              <w:rPr>
                <w:rFonts w:ascii="Arial" w:hAnsi="Arial" w:cs="Arial"/>
                <w:color w:val="FF0000"/>
                <w:sz w:val="20"/>
                <w:szCs w:val="20"/>
              </w:rPr>
              <w:t xml:space="preserve"> </w:t>
            </w:r>
            <w:r w:rsidRPr="00D128EF">
              <w:rPr>
                <w:rFonts w:ascii="Arial" w:hAnsi="Arial" w:cs="Arial"/>
                <w:sz w:val="20"/>
                <w:szCs w:val="18"/>
              </w:rPr>
              <w:t xml:space="preserve">sporządza się </w:t>
            </w:r>
            <w:r w:rsidRPr="00D128EF">
              <w:rPr>
                <w:rFonts w:ascii="Arial" w:hAnsi="Arial" w:cs="Arial"/>
                <w:sz w:val="20"/>
                <w:szCs w:val="20"/>
              </w:rPr>
              <w:t xml:space="preserve">postanowienie o przedstawieniu zarzutów, ogłasza je niezwłocznie podejrzanemu i przesłuchuje się go, chyba że ogłoszenie postanowienia lub przesłuchanie podejrzanego nie jest możliwe  </w:t>
            </w:r>
            <w:r w:rsidRPr="00D128EF">
              <w:rPr>
                <w:rFonts w:ascii="Arial" w:hAnsi="Arial" w:cs="Arial"/>
                <w:color w:val="FF0000"/>
                <w:sz w:val="20"/>
                <w:szCs w:val="20"/>
              </w:rPr>
              <w:t>z przyczyn leżących po stronie podejrzanego, w szczególności</w:t>
            </w:r>
            <w:r w:rsidRPr="00D128EF">
              <w:rPr>
                <w:rFonts w:ascii="Arial" w:hAnsi="Arial" w:cs="Arial"/>
                <w:color w:val="FF0000"/>
              </w:rPr>
              <w:t xml:space="preserve"> </w:t>
            </w:r>
            <w:r w:rsidRPr="00D128EF">
              <w:rPr>
                <w:rFonts w:ascii="Arial" w:hAnsi="Arial" w:cs="Arial"/>
                <w:sz w:val="20"/>
                <w:szCs w:val="20"/>
              </w:rPr>
              <w:t>z powodu jego ukrywania się lub nieobecności w kraju</w:t>
            </w:r>
            <w:r w:rsidRPr="00D128EF">
              <w:rPr>
                <w:rFonts w:ascii="Arial" w:hAnsi="Arial" w:cs="Arial"/>
                <w:color w:val="FF0000"/>
                <w:sz w:val="20"/>
                <w:szCs w:val="20"/>
              </w:rPr>
              <w:t>.</w:t>
            </w:r>
            <w:r w:rsidRPr="00D128EF">
              <w:rPr>
                <w:rFonts w:ascii="Arial" w:hAnsi="Arial" w:cs="Arial"/>
                <w:color w:val="002060"/>
                <w:sz w:val="20"/>
                <w:szCs w:val="20"/>
              </w:rPr>
              <w:t>, a także gdy przesłuchanie podejrzanego nie jest możliwe ze względu na upływ terminu zatrzymania przewidzianego w art. 248 § 1, jeżeli prokurator kieruje do sądu wniosek o zastosowanie tymczasowego aresztowania.</w:t>
            </w:r>
          </w:p>
        </w:tc>
      </w:tr>
      <w:tr w:rsidR="007C6D6C" w:rsidRPr="00D128EF" w14:paraId="2F688E7A" w14:textId="77777777" w:rsidTr="00522E6D">
        <w:tc>
          <w:tcPr>
            <w:tcW w:w="14029" w:type="dxa"/>
          </w:tcPr>
          <w:p w14:paraId="2DB90E5B" w14:textId="2195B44F" w:rsidR="007C6D6C" w:rsidRPr="00D128EF" w:rsidRDefault="007C6D6C" w:rsidP="007C6D6C">
            <w:pPr>
              <w:ind w:firstLine="0"/>
              <w:rPr>
                <w:rFonts w:ascii="Arial" w:hAnsi="Arial" w:cs="Arial"/>
                <w:strike/>
                <w:color w:val="002060"/>
                <w:sz w:val="20"/>
                <w:szCs w:val="20"/>
              </w:rPr>
            </w:pPr>
            <w:r w:rsidRPr="00D128EF">
              <w:rPr>
                <w:rFonts w:ascii="Arial" w:hAnsi="Arial" w:cs="Arial"/>
                <w:b/>
                <w:bCs/>
                <w:strike/>
                <w:color w:val="FF0000"/>
                <w:sz w:val="20"/>
                <w:szCs w:val="20"/>
              </w:rPr>
              <w:t>Art. 313 §  1a.</w:t>
            </w:r>
            <w:r w:rsidRPr="00D128EF">
              <w:rPr>
                <w:rFonts w:ascii="Arial" w:hAnsi="Arial" w:cs="Arial"/>
                <w:strike/>
                <w:color w:val="FF0000"/>
                <w:sz w:val="20"/>
                <w:szCs w:val="20"/>
              </w:rPr>
              <w:t xml:space="preserve"> </w:t>
            </w:r>
            <w:r w:rsidRPr="00D128EF">
              <w:rPr>
                <w:rFonts w:ascii="Arial" w:hAnsi="Arial" w:cs="Arial"/>
                <w:strike/>
                <w:color w:val="FF0000"/>
                <w:sz w:val="20"/>
                <w:szCs w:val="20"/>
              </w:rPr>
              <w:tab/>
              <w:t>Od ogłoszenia postanowienia i przesłuchania podejrzanego, o których mowa w § 1, można odstąpić, jeżeli nie jest możliwe ich przeprowadzenie ze względu na stan zdrowia podejrzanego albo stan nietrzeźwości lub odurzenia w jakim znajduje się podejrzany, a zachodzi potrzeba niezwłocznego zastosowania środka zapobiegawczego. W takim wypadku należy ogłosić postanowienie o przedstawieniu zarzutów i przesłuchać podejrzanego w terminie 7 dni od ustania okoliczności uniemożliwiającej wykonanie tych czynności.</w:t>
            </w:r>
          </w:p>
        </w:tc>
      </w:tr>
      <w:tr w:rsidR="007C6D6C" w:rsidRPr="00D128EF" w14:paraId="54998F53" w14:textId="77777777" w:rsidTr="00522E6D">
        <w:tc>
          <w:tcPr>
            <w:tcW w:w="14029" w:type="dxa"/>
          </w:tcPr>
          <w:p w14:paraId="5A2EE87B" w14:textId="1DDD100A" w:rsidR="007C6D6C" w:rsidRPr="00D128EF" w:rsidRDefault="007C6D6C" w:rsidP="003F76E4">
            <w:pPr>
              <w:ind w:firstLine="0"/>
              <w:rPr>
                <w:rFonts w:ascii="Arial" w:hAnsi="Arial" w:cs="Arial"/>
                <w:color w:val="002060"/>
                <w:sz w:val="20"/>
                <w:szCs w:val="20"/>
              </w:rPr>
            </w:pPr>
            <w:r w:rsidRPr="00D128EF">
              <w:rPr>
                <w:rFonts w:ascii="Arial" w:hAnsi="Arial" w:cs="Arial"/>
                <w:b/>
                <w:bCs/>
                <w:color w:val="002060"/>
                <w:sz w:val="20"/>
                <w:szCs w:val="20"/>
              </w:rPr>
              <w:lastRenderedPageBreak/>
              <w:t>Art. 313 §  5.</w:t>
            </w:r>
            <w:r w:rsidRPr="00D128EF">
              <w:rPr>
                <w:rFonts w:ascii="Arial" w:hAnsi="Arial" w:cs="Arial"/>
                <w:color w:val="002060"/>
                <w:sz w:val="20"/>
                <w:szCs w:val="20"/>
              </w:rPr>
              <w:t xml:space="preserve"> Za wszczęcie postępowania przeciwko osobie uważa się wydanie postanowienia o przedstawieniu zarzutów albo postawienie osobie zarzutu bez wydania takiego postanowienia w związku z przystąpieniem do przesłuchania w charakterze podejrzanego.</w:t>
            </w:r>
          </w:p>
        </w:tc>
      </w:tr>
      <w:tr w:rsidR="002739BF" w:rsidRPr="00D128EF" w14:paraId="5A137154" w14:textId="77777777" w:rsidTr="00522E6D">
        <w:tc>
          <w:tcPr>
            <w:tcW w:w="14029" w:type="dxa"/>
          </w:tcPr>
          <w:p w14:paraId="4B0D58C6" w14:textId="088830D6" w:rsidR="002739BF" w:rsidRPr="00D128EF" w:rsidRDefault="002739BF" w:rsidP="003F76E4">
            <w:pPr>
              <w:ind w:firstLine="0"/>
              <w:rPr>
                <w:rFonts w:ascii="Arial" w:hAnsi="Arial" w:cs="Arial"/>
                <w:b/>
                <w:bCs/>
                <w:color w:val="002060"/>
                <w:sz w:val="20"/>
                <w:szCs w:val="20"/>
              </w:rPr>
            </w:pPr>
            <w:r w:rsidRPr="00D128EF">
              <w:rPr>
                <w:rFonts w:ascii="Arial" w:hAnsi="Arial" w:cs="Arial"/>
                <w:b/>
                <w:bCs/>
                <w:color w:val="000000" w:themeColor="text1"/>
                <w:sz w:val="20"/>
                <w:szCs w:val="20"/>
              </w:rPr>
              <w:t>Art. 318.</w:t>
            </w:r>
            <w:r w:rsidRPr="00D128EF">
              <w:rPr>
                <w:rFonts w:ascii="Arial" w:hAnsi="Arial" w:cs="Arial"/>
                <w:color w:val="000000" w:themeColor="text1"/>
                <w:sz w:val="20"/>
                <w:szCs w:val="20"/>
              </w:rPr>
              <w:t xml:space="preserve"> Gdy dopuszczono dowód z opinii biegłych albo instytucji naukowej lub specjalistycznej, podejrzanemu i jego obrońcy oraz pokrzywdzonemu i jego pełnomocnikowi doręcza się postanowienie o dopuszczeniu tego dowodu i zezwala na wzięcie udziału w przesłuchaniu biegłych oraz</w:t>
            </w:r>
            <w:r w:rsidRPr="00D128EF">
              <w:rPr>
                <w:rFonts w:ascii="Arial" w:hAnsi="Arial" w:cs="Arial"/>
                <w:strike/>
                <w:color w:val="FF0000"/>
                <w:sz w:val="20"/>
                <w:szCs w:val="20"/>
              </w:rPr>
              <w:t xml:space="preserve"> na zapoznanie się z</w:t>
            </w:r>
            <w:r w:rsidRPr="00D128EF">
              <w:rPr>
                <w:rFonts w:ascii="Arial" w:hAnsi="Arial" w:cs="Arial"/>
                <w:color w:val="FF0000"/>
                <w:sz w:val="20"/>
                <w:szCs w:val="20"/>
              </w:rPr>
              <w:t xml:space="preserve"> </w:t>
            </w:r>
            <w:r w:rsidRPr="00D128EF">
              <w:rPr>
                <w:rFonts w:ascii="Arial" w:hAnsi="Arial" w:cs="Arial"/>
                <w:strike/>
                <w:color w:val="FF0000"/>
                <w:sz w:val="20"/>
                <w:szCs w:val="20"/>
              </w:rPr>
              <w:t>opinią, jeżeli złożona została na piśmie.</w:t>
            </w:r>
            <w:r w:rsidRPr="00D128EF">
              <w:rPr>
                <w:rFonts w:ascii="Arial" w:hAnsi="Arial" w:cs="Arial"/>
                <w:color w:val="FF0000"/>
                <w:sz w:val="20"/>
                <w:szCs w:val="20"/>
              </w:rPr>
              <w:t xml:space="preserve"> </w:t>
            </w:r>
            <w:r w:rsidRPr="00D128EF">
              <w:rPr>
                <w:rFonts w:ascii="Arial" w:hAnsi="Arial" w:cs="Arial"/>
                <w:color w:val="002060"/>
                <w:sz w:val="20"/>
                <w:szCs w:val="20"/>
              </w:rPr>
              <w:t xml:space="preserve"> informuje się ich o przedłożeniu opinii i zezwala na zapoznanie się z opinią, jeżeli złożona została na piśmie</w:t>
            </w:r>
            <w:r w:rsidRPr="00D128EF">
              <w:rPr>
                <w:rFonts w:ascii="Arial" w:hAnsi="Arial" w:cs="Arial"/>
                <w:color w:val="000000" w:themeColor="text1"/>
                <w:sz w:val="20"/>
                <w:szCs w:val="20"/>
              </w:rPr>
              <w:t xml:space="preserve"> Podejrzanego pozbawionego wolności nie sprowadza się, gdy spowodowałoby to poważne trudności.</w:t>
            </w:r>
          </w:p>
        </w:tc>
      </w:tr>
      <w:tr w:rsidR="002739BF" w:rsidRPr="00D128EF" w14:paraId="5C093685" w14:textId="77777777" w:rsidTr="00522E6D">
        <w:tc>
          <w:tcPr>
            <w:tcW w:w="14029" w:type="dxa"/>
          </w:tcPr>
          <w:p w14:paraId="3538B875" w14:textId="205AADEB" w:rsidR="002739BF" w:rsidRPr="00D128EF" w:rsidRDefault="002739BF" w:rsidP="002739BF">
            <w:pPr>
              <w:ind w:firstLine="0"/>
              <w:rPr>
                <w:rFonts w:ascii="Arial" w:hAnsi="Arial" w:cs="Arial"/>
                <w:sz w:val="20"/>
                <w:szCs w:val="20"/>
              </w:rPr>
            </w:pPr>
            <w:r w:rsidRPr="00D128EF">
              <w:rPr>
                <w:rFonts w:ascii="Arial" w:hAnsi="Arial" w:cs="Arial"/>
                <w:b/>
                <w:bCs/>
                <w:sz w:val="20"/>
                <w:szCs w:val="20"/>
              </w:rPr>
              <w:t>Art. 325g §  2.</w:t>
            </w:r>
            <w:r w:rsidRPr="00D128EF">
              <w:rPr>
                <w:rFonts w:ascii="Arial" w:hAnsi="Arial" w:cs="Arial"/>
                <w:sz w:val="20"/>
                <w:szCs w:val="20"/>
              </w:rPr>
              <w:t xml:space="preserve"> Przesłuchanie </w:t>
            </w:r>
            <w:r w:rsidRPr="00D128EF">
              <w:rPr>
                <w:rFonts w:ascii="Arial" w:hAnsi="Arial" w:cs="Arial"/>
                <w:strike/>
                <w:color w:val="FF0000"/>
                <w:sz w:val="20"/>
                <w:szCs w:val="20"/>
              </w:rPr>
              <w:t>osoby podejrzanej zaczyna się od powiadomienia jej</w:t>
            </w:r>
            <w:r w:rsidRPr="00D128EF">
              <w:rPr>
                <w:rFonts w:ascii="Arial" w:hAnsi="Arial" w:cs="Arial"/>
                <w:color w:val="FF0000"/>
                <w:sz w:val="20"/>
                <w:szCs w:val="20"/>
              </w:rPr>
              <w:t xml:space="preserve"> </w:t>
            </w:r>
            <w:r w:rsidRPr="00D128EF">
              <w:rPr>
                <w:rFonts w:ascii="Arial" w:hAnsi="Arial" w:cs="Arial"/>
              </w:rPr>
              <w:t xml:space="preserve"> </w:t>
            </w:r>
            <w:r w:rsidRPr="00D128EF">
              <w:rPr>
                <w:rFonts w:ascii="Arial" w:hAnsi="Arial" w:cs="Arial"/>
                <w:color w:val="002060"/>
              </w:rPr>
              <w:t xml:space="preserve">podejrzanego poprzedza się informacją </w:t>
            </w:r>
            <w:r w:rsidRPr="00D128EF">
              <w:rPr>
                <w:rFonts w:ascii="Arial" w:hAnsi="Arial" w:cs="Arial"/>
                <w:sz w:val="20"/>
                <w:szCs w:val="20"/>
              </w:rPr>
              <w:t xml:space="preserve">o treści zarzutu wpisanego do protokołu przesłuchania. </w:t>
            </w:r>
            <w:r w:rsidRPr="00D128EF">
              <w:rPr>
                <w:rFonts w:ascii="Arial" w:hAnsi="Arial" w:cs="Arial"/>
                <w:strike/>
                <w:color w:val="FF0000"/>
                <w:sz w:val="20"/>
                <w:szCs w:val="20"/>
              </w:rPr>
              <w:t>Osobę tę od chwili rozpoczęcia przesłuchania uważa się za podejrzanego.</w:t>
            </w:r>
          </w:p>
        </w:tc>
      </w:tr>
      <w:tr w:rsidR="002739BF" w:rsidRPr="00D128EF" w14:paraId="73EF7C86" w14:textId="77777777" w:rsidTr="00522E6D">
        <w:tc>
          <w:tcPr>
            <w:tcW w:w="14029" w:type="dxa"/>
          </w:tcPr>
          <w:p w14:paraId="1B71B312" w14:textId="1E81C62C" w:rsidR="002739BF" w:rsidRPr="00D128EF" w:rsidRDefault="002739BF" w:rsidP="003F76E4">
            <w:pPr>
              <w:ind w:firstLine="0"/>
              <w:rPr>
                <w:rFonts w:ascii="Arial" w:hAnsi="Arial" w:cs="Arial"/>
                <w:strike/>
                <w:color w:val="FF0000"/>
                <w:sz w:val="20"/>
                <w:szCs w:val="20"/>
              </w:rPr>
            </w:pPr>
            <w:r w:rsidRPr="00D128EF">
              <w:rPr>
                <w:rFonts w:ascii="Arial" w:hAnsi="Arial" w:cs="Arial"/>
                <w:b/>
                <w:bCs/>
                <w:strike/>
                <w:color w:val="FF0000"/>
                <w:sz w:val="20"/>
                <w:szCs w:val="20"/>
              </w:rPr>
              <w:t>Art. 325g §  3.</w:t>
            </w:r>
            <w:r w:rsidRPr="00D128EF">
              <w:rPr>
                <w:rFonts w:ascii="Arial" w:hAnsi="Arial" w:cs="Arial"/>
                <w:strike/>
                <w:color w:val="FF0000"/>
                <w:sz w:val="20"/>
                <w:szCs w:val="20"/>
              </w:rPr>
              <w:t xml:space="preserve"> Podejrzanemu należy umożliwić przygotowanie się do obrony, a zwłaszcza ustanowienie lub wyznaczenie obrońcy.</w:t>
            </w:r>
          </w:p>
        </w:tc>
      </w:tr>
      <w:tr w:rsidR="00424724" w:rsidRPr="00D128EF" w14:paraId="710FC339" w14:textId="77777777" w:rsidTr="00522E6D">
        <w:tc>
          <w:tcPr>
            <w:tcW w:w="14029" w:type="dxa"/>
          </w:tcPr>
          <w:p w14:paraId="595CE11E" w14:textId="37F2F806" w:rsidR="00424724" w:rsidRPr="00D128EF" w:rsidRDefault="00424724" w:rsidP="00424724">
            <w:pPr>
              <w:ind w:firstLine="0"/>
              <w:rPr>
                <w:rFonts w:ascii="Arial" w:hAnsi="Arial" w:cs="Arial"/>
                <w:sz w:val="20"/>
                <w:szCs w:val="20"/>
              </w:rPr>
            </w:pPr>
            <w:r w:rsidRPr="00D128EF">
              <w:rPr>
                <w:rFonts w:ascii="Arial" w:hAnsi="Arial" w:cs="Arial"/>
                <w:b/>
                <w:bCs/>
                <w:sz w:val="20"/>
                <w:szCs w:val="20"/>
              </w:rPr>
              <w:t>Art. 327 §  1.</w:t>
            </w:r>
            <w:r w:rsidRPr="00D128EF">
              <w:rPr>
                <w:rFonts w:ascii="Arial" w:hAnsi="Arial" w:cs="Arial"/>
                <w:sz w:val="20"/>
                <w:szCs w:val="20"/>
              </w:rPr>
              <w:t> Umorzone postępowanie przygotowawcze może być w każdym czasie podjęte na nowo na mocy postanowienia prokuratora, jeżeli nie będzie się toczyć przeciw osobie</w:t>
            </w:r>
            <w:r w:rsidRPr="00D128EF">
              <w:rPr>
                <w:rFonts w:ascii="Arial" w:hAnsi="Arial" w:cs="Arial"/>
                <w:strike/>
                <w:color w:val="FF0000"/>
                <w:sz w:val="20"/>
                <w:szCs w:val="20"/>
              </w:rPr>
              <w:t>, która w poprzednim postępowaniu</w:t>
            </w:r>
            <w:r w:rsidRPr="00D128EF">
              <w:rPr>
                <w:rFonts w:ascii="Arial" w:hAnsi="Arial" w:cs="Arial"/>
                <w:color w:val="FF0000"/>
                <w:sz w:val="20"/>
                <w:szCs w:val="20"/>
              </w:rPr>
              <w:t xml:space="preserve"> </w:t>
            </w:r>
            <w:r w:rsidRPr="00D128EF">
              <w:rPr>
                <w:rFonts w:ascii="Arial" w:hAnsi="Arial" w:cs="Arial"/>
                <w:color w:val="002060"/>
                <w:sz w:val="20"/>
                <w:szCs w:val="20"/>
              </w:rPr>
              <w:t>wobec której wydano postanowienie o</w:t>
            </w:r>
            <w:r w:rsidRPr="00D128EF">
              <w:rPr>
                <w:rFonts w:ascii="Arial" w:hAnsi="Arial" w:cs="Arial"/>
                <w:bCs/>
                <w:color w:val="002060"/>
                <w:sz w:val="20"/>
                <w:szCs w:val="20"/>
              </w:rPr>
              <w:t xml:space="preserve"> </w:t>
            </w:r>
            <w:r w:rsidRPr="00D128EF">
              <w:rPr>
                <w:rFonts w:ascii="Arial" w:hAnsi="Arial" w:cs="Arial"/>
                <w:color w:val="002060"/>
                <w:sz w:val="20"/>
                <w:szCs w:val="20"/>
              </w:rPr>
              <w:t>przedstawieniu zarzutów albo której postawiono zarzut bez wydania takiego postanowienia w</w:t>
            </w:r>
            <w:r w:rsidRPr="00D128EF">
              <w:rPr>
                <w:rFonts w:ascii="Arial" w:hAnsi="Arial" w:cs="Arial"/>
                <w:bCs/>
                <w:color w:val="002060"/>
                <w:sz w:val="20"/>
                <w:szCs w:val="20"/>
              </w:rPr>
              <w:t xml:space="preserve"> </w:t>
            </w:r>
            <w:r w:rsidRPr="00D128EF">
              <w:rPr>
                <w:rFonts w:ascii="Arial" w:hAnsi="Arial" w:cs="Arial"/>
                <w:color w:val="002060"/>
                <w:sz w:val="20"/>
                <w:szCs w:val="20"/>
              </w:rPr>
              <w:t>związku z</w:t>
            </w:r>
            <w:r w:rsidRPr="00D128EF">
              <w:rPr>
                <w:rFonts w:ascii="Arial" w:hAnsi="Arial" w:cs="Arial"/>
                <w:bCs/>
                <w:color w:val="002060"/>
                <w:sz w:val="20"/>
                <w:szCs w:val="20"/>
              </w:rPr>
              <w:t xml:space="preserve"> </w:t>
            </w:r>
            <w:r w:rsidRPr="00D128EF">
              <w:rPr>
                <w:rFonts w:ascii="Arial" w:hAnsi="Arial" w:cs="Arial"/>
                <w:color w:val="002060"/>
                <w:sz w:val="20"/>
                <w:szCs w:val="20"/>
              </w:rPr>
              <w:t xml:space="preserve">przystąpieniem do przesłuchania </w:t>
            </w:r>
            <w:r w:rsidRPr="00D128EF">
              <w:rPr>
                <w:rFonts w:ascii="Arial" w:hAnsi="Arial" w:cs="Arial"/>
                <w:sz w:val="20"/>
                <w:szCs w:val="20"/>
              </w:rPr>
              <w:t xml:space="preserve"> występowała w charakterze podejrzanego. Przepis ten stosuje się odpowiednio w sprawie, w której odmówiono wszczęcia śledztwa lub dochodzenia.</w:t>
            </w:r>
          </w:p>
          <w:p w14:paraId="33557900" w14:textId="7B70015D" w:rsidR="00424724" w:rsidRPr="00D128EF" w:rsidRDefault="00424724" w:rsidP="003F76E4">
            <w:pPr>
              <w:ind w:firstLine="0"/>
              <w:rPr>
                <w:rFonts w:ascii="Arial" w:hAnsi="Arial" w:cs="Arial"/>
                <w:sz w:val="20"/>
                <w:szCs w:val="20"/>
              </w:rPr>
            </w:pPr>
            <w:r w:rsidRPr="00D128EF">
              <w:rPr>
                <w:rFonts w:ascii="Arial" w:hAnsi="Arial" w:cs="Arial"/>
                <w:sz w:val="20"/>
                <w:szCs w:val="20"/>
              </w:rPr>
              <w:t xml:space="preserve">§  2. Prawomocnie umorzone postępowanie przygotowawcze wznawia się przeciwko osobie, </w:t>
            </w:r>
            <w:r w:rsidRPr="00D128EF">
              <w:rPr>
                <w:rFonts w:ascii="Arial" w:hAnsi="Arial" w:cs="Arial"/>
                <w:strike/>
                <w:color w:val="FF0000"/>
                <w:sz w:val="20"/>
                <w:szCs w:val="20"/>
              </w:rPr>
              <w:t>która występowała w charakterze podejrzanego</w:t>
            </w:r>
            <w:r w:rsidRPr="00D128EF">
              <w:rPr>
                <w:rFonts w:ascii="Arial" w:hAnsi="Arial" w:cs="Arial"/>
                <w:color w:val="002060"/>
                <w:sz w:val="20"/>
                <w:szCs w:val="20"/>
              </w:rPr>
              <w:t xml:space="preserve"> wobec której wydano postanowienie o</w:t>
            </w:r>
            <w:r w:rsidRPr="00D128EF">
              <w:rPr>
                <w:rFonts w:ascii="Arial" w:hAnsi="Arial" w:cs="Arial"/>
                <w:bCs/>
                <w:color w:val="002060"/>
                <w:sz w:val="20"/>
                <w:szCs w:val="20"/>
              </w:rPr>
              <w:t xml:space="preserve"> </w:t>
            </w:r>
            <w:r w:rsidRPr="00D128EF">
              <w:rPr>
                <w:rFonts w:ascii="Arial" w:hAnsi="Arial" w:cs="Arial"/>
                <w:color w:val="002060"/>
                <w:sz w:val="20"/>
                <w:szCs w:val="20"/>
              </w:rPr>
              <w:t>przedstawieniu zarzutów albo której postawiono zarzut bez wydania takiego postanowienia w</w:t>
            </w:r>
            <w:r w:rsidRPr="00D128EF">
              <w:rPr>
                <w:rFonts w:ascii="Arial" w:hAnsi="Arial" w:cs="Arial"/>
                <w:bCs/>
                <w:color w:val="002060"/>
                <w:sz w:val="20"/>
                <w:szCs w:val="20"/>
              </w:rPr>
              <w:t xml:space="preserve"> </w:t>
            </w:r>
            <w:r w:rsidRPr="00D128EF">
              <w:rPr>
                <w:rFonts w:ascii="Arial" w:hAnsi="Arial" w:cs="Arial"/>
                <w:color w:val="002060"/>
                <w:sz w:val="20"/>
                <w:szCs w:val="20"/>
              </w:rPr>
              <w:t>związku z</w:t>
            </w:r>
            <w:r w:rsidRPr="00D128EF">
              <w:rPr>
                <w:rFonts w:ascii="Arial" w:hAnsi="Arial" w:cs="Arial"/>
                <w:bCs/>
                <w:color w:val="002060"/>
                <w:sz w:val="20"/>
                <w:szCs w:val="20"/>
              </w:rPr>
              <w:t xml:space="preserve"> </w:t>
            </w:r>
            <w:r w:rsidRPr="00D128EF">
              <w:rPr>
                <w:rFonts w:ascii="Arial" w:hAnsi="Arial" w:cs="Arial"/>
                <w:color w:val="002060"/>
                <w:sz w:val="20"/>
                <w:szCs w:val="20"/>
              </w:rPr>
              <w:t>przystąpieniem do przesłuchania w</w:t>
            </w:r>
            <w:r w:rsidRPr="00D128EF">
              <w:rPr>
                <w:rFonts w:ascii="Arial" w:hAnsi="Arial" w:cs="Arial"/>
                <w:bCs/>
                <w:color w:val="002060"/>
                <w:sz w:val="20"/>
                <w:szCs w:val="20"/>
              </w:rPr>
              <w:t xml:space="preserve"> </w:t>
            </w:r>
            <w:r w:rsidRPr="00D128EF">
              <w:rPr>
                <w:rFonts w:ascii="Arial" w:hAnsi="Arial" w:cs="Arial"/>
                <w:color w:val="002060"/>
                <w:sz w:val="20"/>
                <w:szCs w:val="20"/>
              </w:rPr>
              <w:t>charakterze podejrzanego</w:t>
            </w:r>
            <w:r w:rsidRPr="00D128EF">
              <w:rPr>
                <w:rFonts w:ascii="Arial" w:hAnsi="Arial" w:cs="Arial"/>
                <w:sz w:val="20"/>
                <w:szCs w:val="20"/>
              </w:rPr>
              <w:t>, na mocy postanowienia prokuratora nadrzędnego nad tym, który wydał lub zatwierdził postanowienie o umorzeniu, tylko wtedy, gdy ujawnią się nowe istotne fakty lub dowody nie znane w poprzednim postępowaniu albo gdy zachodzi okoliczność określona w art. 11 § 3. Przewidziane w ustawie ograniczenia okresu tymczasowego aresztowania stosuje się wówczas do łącznego czasu trwania tego środka.</w:t>
            </w:r>
          </w:p>
        </w:tc>
      </w:tr>
      <w:tr w:rsidR="003F76E4" w:rsidRPr="00D128EF" w14:paraId="41080ADA" w14:textId="77777777" w:rsidTr="00522E6D">
        <w:tc>
          <w:tcPr>
            <w:tcW w:w="14029" w:type="dxa"/>
          </w:tcPr>
          <w:p w14:paraId="7C00AD5F" w14:textId="0FAF9C63" w:rsidR="003F76E4" w:rsidRPr="00D128EF" w:rsidRDefault="00424724" w:rsidP="003F76E4">
            <w:pPr>
              <w:ind w:firstLine="0"/>
              <w:rPr>
                <w:rFonts w:ascii="Arial" w:hAnsi="Arial" w:cs="Arial"/>
                <w:sz w:val="20"/>
                <w:szCs w:val="20"/>
              </w:rPr>
            </w:pPr>
            <w:r w:rsidRPr="00D128EF">
              <w:rPr>
                <w:rFonts w:ascii="Arial" w:hAnsi="Arial" w:cs="Arial"/>
                <w:b/>
                <w:bCs/>
                <w:sz w:val="20"/>
                <w:szCs w:val="20"/>
              </w:rPr>
              <w:t>Art. 328 § 1.</w:t>
            </w:r>
            <w:r w:rsidRPr="00D128EF">
              <w:rPr>
                <w:rFonts w:ascii="Arial" w:hAnsi="Arial" w:cs="Arial"/>
                <w:sz w:val="20"/>
                <w:szCs w:val="20"/>
              </w:rPr>
              <w:t xml:space="preserve"> Prokurator Generalny może uchylić prawomocne postanowienie o umorzeniu postępowania przygotowawczego w stosunku do osoby, </w:t>
            </w:r>
            <w:r w:rsidRPr="00D128EF">
              <w:rPr>
                <w:rFonts w:ascii="Arial" w:hAnsi="Arial" w:cs="Arial"/>
                <w:strike/>
                <w:color w:val="FF0000"/>
                <w:sz w:val="20"/>
                <w:szCs w:val="20"/>
              </w:rPr>
              <w:t>która występowała w charakterze podejrzanego</w:t>
            </w:r>
            <w:r w:rsidRPr="00D128EF">
              <w:rPr>
                <w:rFonts w:ascii="Arial" w:hAnsi="Arial" w:cs="Arial"/>
                <w:sz w:val="20"/>
                <w:szCs w:val="20"/>
              </w:rPr>
              <w:t xml:space="preserve">,  </w:t>
            </w:r>
            <w:r w:rsidRPr="00D128EF">
              <w:rPr>
                <w:rFonts w:ascii="Arial" w:hAnsi="Arial" w:cs="Arial"/>
                <w:color w:val="002060"/>
                <w:sz w:val="20"/>
                <w:szCs w:val="20"/>
              </w:rPr>
              <w:t>wobec której wydano postanowienie o przedstawieniu zarzutów albo której postawiono zarzut bez wydania takiego postanowienia w związku z przystąpieniem do przesłuchania w charakterze podejrzanego</w:t>
            </w:r>
            <w:r w:rsidRPr="00D128EF">
              <w:rPr>
                <w:rFonts w:ascii="Arial" w:hAnsi="Arial" w:cs="Arial"/>
                <w:sz w:val="20"/>
                <w:szCs w:val="20"/>
              </w:rPr>
              <w:t>, jeżeli stwierdzi, że umorzenie postępowania było niezasadne. Nie dotyczy to wypadku, w którym sąd utrzymał w mocy postanowienie o umorzeniu.</w:t>
            </w:r>
          </w:p>
        </w:tc>
      </w:tr>
      <w:tr w:rsidR="003F76E4" w:rsidRPr="00D128EF" w14:paraId="585A8B7C" w14:textId="77777777" w:rsidTr="00522E6D">
        <w:tc>
          <w:tcPr>
            <w:tcW w:w="14029" w:type="dxa"/>
          </w:tcPr>
          <w:p w14:paraId="13F92704" w14:textId="77F8C328" w:rsidR="003F76E4" w:rsidRPr="00D128EF" w:rsidRDefault="00424724" w:rsidP="003F76E4">
            <w:pPr>
              <w:ind w:firstLine="0"/>
              <w:rPr>
                <w:rFonts w:ascii="Arial" w:hAnsi="Arial" w:cs="Arial"/>
                <w:color w:val="002060"/>
                <w:sz w:val="20"/>
                <w:szCs w:val="20"/>
              </w:rPr>
            </w:pPr>
            <w:r w:rsidRPr="00D128EF">
              <w:rPr>
                <w:rFonts w:ascii="Arial" w:hAnsi="Arial" w:cs="Arial"/>
                <w:b/>
                <w:bCs/>
                <w:sz w:val="20"/>
                <w:szCs w:val="20"/>
              </w:rPr>
              <w:t>Art. 328.</w:t>
            </w:r>
            <w:r w:rsidRPr="00D128EF">
              <w:rPr>
                <w:rFonts w:ascii="Arial" w:hAnsi="Arial" w:cs="Arial"/>
                <w:sz w:val="20"/>
                <w:szCs w:val="20"/>
              </w:rPr>
              <w:t xml:space="preserve"> </w:t>
            </w:r>
            <w:r w:rsidRPr="00D128EF">
              <w:rPr>
                <w:rFonts w:ascii="Arial" w:hAnsi="Arial" w:cs="Arial"/>
                <w:color w:val="002060"/>
                <w:sz w:val="20"/>
                <w:szCs w:val="20"/>
              </w:rPr>
              <w:t>Prokurator Generalny może uchylić prawomocne postanowienie o umorzeniu postępowania przygotowawczego w stosunku do osoby, wobec której wydano postanowienie o przedstawieniu zarzutów albo której postawiono zarzut bez wydania takiego postanowienia w związku z przystąpieniem do przesłuchania w charakterze podejrzanego, jeżeli stwierdzi, że umorzenie postępowania było niezasadne. Nie dotyczy to wypadku, w którym sąd utrzymał w mocy postanowienie o umorzeniu.</w:t>
            </w:r>
          </w:p>
        </w:tc>
      </w:tr>
      <w:tr w:rsidR="003F76E4" w:rsidRPr="00D128EF" w14:paraId="788F0DBD" w14:textId="77777777" w:rsidTr="00522E6D">
        <w:tc>
          <w:tcPr>
            <w:tcW w:w="14029" w:type="dxa"/>
          </w:tcPr>
          <w:p w14:paraId="647506B4" w14:textId="5DE7F17A" w:rsidR="003F76E4" w:rsidRPr="00D128EF" w:rsidRDefault="003F76E4" w:rsidP="00424724">
            <w:pPr>
              <w:ind w:firstLine="0"/>
              <w:rPr>
                <w:rFonts w:ascii="Arial" w:hAnsi="Arial" w:cs="Arial"/>
                <w:color w:val="002060"/>
                <w:sz w:val="20"/>
                <w:szCs w:val="20"/>
              </w:rPr>
            </w:pPr>
            <w:r w:rsidRPr="00D128EF">
              <w:rPr>
                <w:rFonts w:ascii="Arial" w:hAnsi="Arial" w:cs="Arial"/>
                <w:b/>
                <w:bCs/>
                <w:sz w:val="20"/>
                <w:szCs w:val="20"/>
              </w:rPr>
              <w:t>Art. 330 §  §  2.</w:t>
            </w:r>
            <w:r w:rsidRPr="00D128EF">
              <w:rPr>
                <w:rFonts w:ascii="Arial" w:hAnsi="Arial" w:cs="Arial"/>
                <w:sz w:val="20"/>
                <w:szCs w:val="20"/>
              </w:rPr>
              <w:t xml:space="preserve">  </w:t>
            </w:r>
            <w:r w:rsidRPr="00D128EF">
              <w:rPr>
                <w:rFonts w:ascii="Arial" w:hAnsi="Arial" w:cs="Arial"/>
                <w:color w:val="002060"/>
                <w:sz w:val="20"/>
                <w:szCs w:val="20"/>
              </w:rPr>
              <w:t xml:space="preserve">Jeżeli organ prowadzący postępowanie nadal nie znajduje podstaw do wniesienia aktu oskarżenia, wydaje postanowienie o umorzeniu postępowania lub odmowie jego wszczęcia. Postanowienie to podlega zaskarżeniu tylko do prokuratora nadrzędnego. W razie utrzymania w mocy zaskarżonego postanowienia pokrzywdzony, który co najmniej dwukrotnie wykorzystał uprawnienia przewidziane w art. 306 § 1 lub 1a, </w:t>
            </w:r>
            <w:r w:rsidRPr="00D128EF">
              <w:rPr>
                <w:rFonts w:ascii="Arial" w:hAnsi="Arial" w:cs="Arial"/>
                <w:strike/>
                <w:color w:val="FF0000"/>
                <w:sz w:val="20"/>
                <w:szCs w:val="20"/>
              </w:rPr>
              <w:t>w tym zaskarżył postanowienie utrzymane w mocy przez prokuratora nadrzędnego,</w:t>
            </w:r>
            <w:r w:rsidRPr="00D128EF">
              <w:rPr>
                <w:rFonts w:ascii="Arial" w:hAnsi="Arial" w:cs="Arial"/>
                <w:color w:val="FF0000"/>
                <w:sz w:val="20"/>
                <w:szCs w:val="20"/>
              </w:rPr>
              <w:t xml:space="preserve"> </w:t>
            </w:r>
            <w:r w:rsidRPr="00D128EF">
              <w:rPr>
                <w:rFonts w:ascii="Arial" w:hAnsi="Arial" w:cs="Arial"/>
                <w:color w:val="002060"/>
                <w:sz w:val="20"/>
                <w:szCs w:val="20"/>
              </w:rPr>
              <w:t>może wnieść akt oskarżenia określony w art. 55 § 1.</w:t>
            </w:r>
          </w:p>
        </w:tc>
      </w:tr>
      <w:tr w:rsidR="003F76E4" w:rsidRPr="00D128EF" w14:paraId="4AB5CBB5" w14:textId="77777777" w:rsidTr="00522E6D">
        <w:tc>
          <w:tcPr>
            <w:tcW w:w="14029" w:type="dxa"/>
          </w:tcPr>
          <w:p w14:paraId="76C3A59F" w14:textId="524515B1" w:rsidR="003F76E4" w:rsidRPr="00D128EF" w:rsidRDefault="003F76E4" w:rsidP="003F76E4">
            <w:pPr>
              <w:ind w:firstLine="0"/>
              <w:rPr>
                <w:rFonts w:ascii="Arial" w:hAnsi="Arial" w:cs="Arial"/>
                <w:strike/>
                <w:color w:val="FF0000"/>
                <w:sz w:val="20"/>
                <w:szCs w:val="20"/>
              </w:rPr>
            </w:pPr>
            <w:r w:rsidRPr="00D128EF">
              <w:rPr>
                <w:rFonts w:ascii="Arial" w:hAnsi="Arial" w:cs="Arial"/>
                <w:b/>
                <w:bCs/>
                <w:strike/>
                <w:color w:val="FF0000"/>
                <w:sz w:val="20"/>
                <w:szCs w:val="20"/>
              </w:rPr>
              <w:t>Art. 330 §  2a.</w:t>
            </w:r>
            <w:r w:rsidRPr="00D128EF">
              <w:rPr>
                <w:rFonts w:ascii="Arial" w:hAnsi="Arial" w:cs="Arial"/>
                <w:strike/>
                <w:color w:val="FF0000"/>
                <w:sz w:val="20"/>
                <w:szCs w:val="20"/>
              </w:rPr>
              <w:t xml:space="preserve">  W razie utrzymania w mocy postanowienia o umorzeniu postępowania przygotowawczego lub odmowie jego wszczęcia, prokurator nadrzędny przesyła pokrzywdzonemu, który spełnia warunki określone w § 2 zdanie trzecie, zawiadomienie o utrzymaniu w mocy zaskarżonego postanowienia wraz z pouczeniem o treści art. 55 § 1 oraz odpis postanowienia o utrzymaniu w mocy zaskarżonego postanowienia. Innego skarżącego powiadamia się o utrzymaniu w mocy postanowienia o umorzeniu postępowania przygotowawczego lub odmowie jego wszczęcia.</w:t>
            </w:r>
          </w:p>
        </w:tc>
      </w:tr>
      <w:tr w:rsidR="003F76E4" w:rsidRPr="00D128EF" w14:paraId="504AA890" w14:textId="77777777" w:rsidTr="00522E6D">
        <w:tc>
          <w:tcPr>
            <w:tcW w:w="14029" w:type="dxa"/>
          </w:tcPr>
          <w:p w14:paraId="3D03A7D7" w14:textId="3F5E0A5B" w:rsidR="003F76E4" w:rsidRPr="00D128EF" w:rsidRDefault="003F76E4" w:rsidP="003F76E4">
            <w:pPr>
              <w:ind w:firstLine="0"/>
              <w:rPr>
                <w:rFonts w:ascii="Arial" w:hAnsi="Arial" w:cs="Arial"/>
                <w:strike/>
                <w:color w:val="FF0000"/>
                <w:sz w:val="20"/>
                <w:szCs w:val="20"/>
              </w:rPr>
            </w:pPr>
            <w:r w:rsidRPr="00D128EF">
              <w:rPr>
                <w:rFonts w:ascii="Arial" w:hAnsi="Arial" w:cs="Arial"/>
                <w:b/>
                <w:bCs/>
                <w:strike/>
                <w:color w:val="FF0000"/>
                <w:sz w:val="20"/>
                <w:szCs w:val="20"/>
              </w:rPr>
              <w:t>Art. 330 §  4.</w:t>
            </w:r>
            <w:r w:rsidRPr="00D128EF">
              <w:rPr>
                <w:rFonts w:ascii="Arial" w:hAnsi="Arial" w:cs="Arial"/>
                <w:strike/>
                <w:color w:val="FF0000"/>
                <w:sz w:val="20"/>
                <w:szCs w:val="20"/>
              </w:rPr>
              <w:t xml:space="preserve">  Jeżeli akt oskarżenia, którego odpis został przesłany prokuratorowi na podstawie § 3, nie został wniesiony przez pokrzywdzonego, prokurator odmawia przesłania akt postępowania przygotowawczego, zawiadamiając o tym prezesa sądu. Podmiotowi, który wniósł akt oskarżenia, przysługuje zażalenie na zarządzenie prokuratora o odmowie przesłania akt postępowania przygotowawczego; właściwy do rozpoznania zażalenia jest prokurator nadrzędny.</w:t>
            </w:r>
          </w:p>
        </w:tc>
      </w:tr>
      <w:tr w:rsidR="00574461" w:rsidRPr="00D128EF" w14:paraId="0B2579B5" w14:textId="77777777" w:rsidTr="00522E6D">
        <w:tc>
          <w:tcPr>
            <w:tcW w:w="14029" w:type="dxa"/>
          </w:tcPr>
          <w:p w14:paraId="43CC2EA0" w14:textId="4943C5AC" w:rsidR="00574461" w:rsidRPr="00D128EF" w:rsidRDefault="008923A3" w:rsidP="007401D5">
            <w:pPr>
              <w:ind w:firstLine="0"/>
              <w:jc w:val="left"/>
              <w:rPr>
                <w:rFonts w:ascii="Arial" w:hAnsi="Arial" w:cs="Arial"/>
                <w:b/>
                <w:bCs/>
                <w:spacing w:val="-2"/>
                <w:sz w:val="20"/>
                <w:szCs w:val="20"/>
              </w:rPr>
            </w:pPr>
            <w:r>
              <w:rPr>
                <w:rFonts w:ascii="Arial" w:hAnsi="Arial" w:cs="Arial"/>
                <w:b/>
                <w:bCs/>
                <w:spacing w:val="-2"/>
                <w:sz w:val="20"/>
                <w:szCs w:val="20"/>
              </w:rPr>
              <w:t>Art</w:t>
            </w:r>
            <w:r w:rsidR="00574461" w:rsidRPr="00D128EF">
              <w:rPr>
                <w:rFonts w:ascii="Arial" w:hAnsi="Arial" w:cs="Arial"/>
                <w:b/>
                <w:bCs/>
                <w:spacing w:val="-2"/>
                <w:sz w:val="20"/>
                <w:szCs w:val="20"/>
              </w:rPr>
              <w:t>. 332 w § 1 pkt 1</w:t>
            </w:r>
            <w:r>
              <w:rPr>
                <w:rFonts w:ascii="Arial" w:hAnsi="Arial" w:cs="Arial"/>
                <w:b/>
                <w:bCs/>
                <w:spacing w:val="-2"/>
                <w:sz w:val="20"/>
                <w:szCs w:val="20"/>
              </w:rPr>
              <w:t>.</w:t>
            </w:r>
            <w:r w:rsidR="00574461" w:rsidRPr="00D128EF">
              <w:rPr>
                <w:rFonts w:ascii="Arial" w:hAnsi="Arial" w:cs="Arial"/>
                <w:spacing w:val="-2"/>
                <w:sz w:val="20"/>
                <w:szCs w:val="20"/>
              </w:rPr>
              <w:t xml:space="preserve"> Akt oskarżenia powinien zawierać:</w:t>
            </w:r>
            <w:r w:rsidR="00574461" w:rsidRPr="00D128EF">
              <w:rPr>
                <w:rFonts w:ascii="Arial" w:hAnsi="Arial" w:cs="Arial"/>
                <w:b/>
                <w:bCs/>
                <w:spacing w:val="-2"/>
                <w:sz w:val="20"/>
                <w:szCs w:val="20"/>
              </w:rPr>
              <w:t xml:space="preserve">  (…) </w:t>
            </w:r>
            <w:r w:rsidR="00574461" w:rsidRPr="00D128EF">
              <w:rPr>
                <w:rFonts w:ascii="Arial" w:hAnsi="Arial" w:cs="Arial"/>
                <w:spacing w:val="-2"/>
                <w:sz w:val="20"/>
                <w:szCs w:val="20"/>
              </w:rPr>
              <w:t xml:space="preserve">imię i nazwisko oskarżonego, inne dane o jego osobie, w tym numer telefonu, telefaksu i adres poczty elektronicznej lub informację o ich nieposiadaniu przez oskarżonego lub niemożności ich ustalenia, dane o </w:t>
            </w:r>
            <w:r w:rsidR="00574461" w:rsidRPr="00D128EF">
              <w:rPr>
                <w:rFonts w:ascii="Arial" w:hAnsi="Arial" w:cs="Arial"/>
                <w:color w:val="002060"/>
                <w:spacing w:val="-2"/>
                <w:sz w:val="20"/>
                <w:szCs w:val="20"/>
              </w:rPr>
              <w:t>zatrzymaniu</w:t>
            </w:r>
            <w:r w:rsidR="00574461" w:rsidRPr="00D128EF">
              <w:rPr>
                <w:rFonts w:ascii="Arial" w:hAnsi="Arial" w:cs="Arial"/>
                <w:spacing w:val="-2"/>
                <w:sz w:val="20"/>
                <w:szCs w:val="20"/>
              </w:rPr>
              <w:t>, zastosowaniu środka zapobiegawczego oraz zabezpieczenia majątkowego;”;</w:t>
            </w:r>
          </w:p>
        </w:tc>
      </w:tr>
      <w:tr w:rsidR="00574461" w:rsidRPr="00D128EF" w14:paraId="78882788" w14:textId="77777777" w:rsidTr="00522E6D">
        <w:tc>
          <w:tcPr>
            <w:tcW w:w="14029" w:type="dxa"/>
          </w:tcPr>
          <w:p w14:paraId="7984D910" w14:textId="73E3F14D" w:rsidR="00574461" w:rsidRPr="00D128EF" w:rsidRDefault="00574461" w:rsidP="007401D5">
            <w:pPr>
              <w:ind w:firstLine="0"/>
              <w:jc w:val="left"/>
              <w:rPr>
                <w:rFonts w:ascii="Arial" w:hAnsi="Arial" w:cs="Arial"/>
                <w:spacing w:val="-2"/>
                <w:sz w:val="20"/>
                <w:szCs w:val="20"/>
              </w:rPr>
            </w:pPr>
            <w:r w:rsidRPr="00D128EF">
              <w:rPr>
                <w:rFonts w:ascii="Arial" w:hAnsi="Arial" w:cs="Arial"/>
                <w:b/>
                <w:bCs/>
                <w:spacing w:val="-2"/>
                <w:sz w:val="20"/>
                <w:szCs w:val="20"/>
              </w:rPr>
              <w:t>Art. 335 § 1.</w:t>
            </w:r>
            <w:r w:rsidRPr="00D128EF">
              <w:rPr>
                <w:rFonts w:ascii="Arial" w:hAnsi="Arial" w:cs="Arial"/>
                <w:spacing w:val="-2"/>
                <w:sz w:val="20"/>
                <w:szCs w:val="20"/>
              </w:rPr>
              <w:t xml:space="preserve"> Jeżeli oskarżony przyznaje się do winy, a w świetle jego wyjaśnień okoliczności popełnienia przestępstwa i wina nie budzą wątpliwości, a postawa oskarżonego wskazuje, że cele postępowania zostaną osiągnięte, można zaniechać przeprowadzenia dalszych czynności. Jeżeli zachodzi potrzeba oceny </w:t>
            </w:r>
            <w:r w:rsidRPr="00D128EF">
              <w:rPr>
                <w:rFonts w:ascii="Arial" w:hAnsi="Arial" w:cs="Arial"/>
                <w:spacing w:val="-2"/>
                <w:sz w:val="20"/>
                <w:szCs w:val="20"/>
              </w:rPr>
              <w:lastRenderedPageBreak/>
              <w:t xml:space="preserve">wiarygodności złożonych wyjaśnień, czynności dowodowych dokonuje się jedynie w niezbędnym do tego zakresie. W każdym jednak wypadku, jeżeli jest to konieczne dla zabezpieczenia śladów i dowodów przestępstwa przed ich utratą, zniekształceniem lub zniszczeniem, należy przeprowadzić w niezbędnym zakresie czynności procesowe, a zwłaszcza dokonać oględzin, w razie potrzeby z udziałem biegłego, przeszukania lub czynności wymienionych w art. 74 § 2 pkt 1 w stosunku do osoby </w:t>
            </w:r>
            <w:r w:rsidRPr="00D128EF">
              <w:rPr>
                <w:rFonts w:ascii="Arial" w:hAnsi="Arial" w:cs="Arial"/>
                <w:strike/>
                <w:color w:val="FF0000"/>
                <w:spacing w:val="-2"/>
                <w:sz w:val="20"/>
                <w:szCs w:val="20"/>
              </w:rPr>
              <w:t>podejrzanej</w:t>
            </w:r>
            <w:r w:rsidRPr="00D128EF">
              <w:rPr>
                <w:rFonts w:ascii="Arial" w:hAnsi="Arial" w:cs="Arial"/>
                <w:spacing w:val="-2"/>
                <w:sz w:val="20"/>
                <w:szCs w:val="20"/>
              </w:rPr>
              <w:t>, co do której istnieje uzasadnione podejrzenie popełnienia przez nią przestępstwa, a także przedsięwziąć wobec niej inne niezbędne czynności, nie wyłączając pobrania krwi, włosów i wydzielin organizmu. Prokurator, zamiast z aktem oskarżenia, występuje do sądu z wnioskiem o wydanie na posiedzeniu wyroku skazującego i orzeczenie uzgodnionych z oskarżonym kar lub innych środków przewidzianych za zarzucany mu występek, uwzględniających również prawnie chronione interesy pokrzywdzonego. Uzgodnienie może obejmować także wydanie określonego rozstrzygnięcia w przedmiocie poniesienia kosztów procesu.”;</w:t>
            </w:r>
          </w:p>
        </w:tc>
      </w:tr>
      <w:tr w:rsidR="00574461" w:rsidRPr="00D128EF" w14:paraId="6F5740C5" w14:textId="77777777" w:rsidTr="00522E6D">
        <w:tc>
          <w:tcPr>
            <w:tcW w:w="14029" w:type="dxa"/>
          </w:tcPr>
          <w:p w14:paraId="1EBDB862" w14:textId="190717D3" w:rsidR="00574461" w:rsidRPr="00D128EF" w:rsidRDefault="00574461" w:rsidP="007401D5">
            <w:pPr>
              <w:ind w:firstLine="0"/>
              <w:jc w:val="left"/>
              <w:rPr>
                <w:rFonts w:ascii="Arial" w:hAnsi="Arial" w:cs="Arial"/>
                <w:color w:val="002060"/>
                <w:spacing w:val="-2"/>
                <w:sz w:val="20"/>
                <w:szCs w:val="20"/>
              </w:rPr>
            </w:pPr>
            <w:r w:rsidRPr="00D128EF">
              <w:rPr>
                <w:rFonts w:ascii="Arial" w:hAnsi="Arial" w:cs="Arial"/>
                <w:b/>
                <w:bCs/>
                <w:color w:val="002060"/>
                <w:spacing w:val="-2"/>
                <w:sz w:val="20"/>
                <w:szCs w:val="20"/>
              </w:rPr>
              <w:lastRenderedPageBreak/>
              <w:t>Art. 339 § 1a.</w:t>
            </w:r>
            <w:r w:rsidRPr="00D128EF">
              <w:rPr>
                <w:rFonts w:ascii="Arial" w:hAnsi="Arial" w:cs="Arial"/>
                <w:color w:val="002060"/>
                <w:spacing w:val="-2"/>
                <w:sz w:val="20"/>
                <w:szCs w:val="20"/>
              </w:rPr>
              <w:t xml:space="preserve"> Lista i wykaz, o których mowa w § 1, powinny zawierać także wskazanie w odniesieniu do każdego dowodu, jakie okoliczności mają być udowodnione, a w razie potrzeby także wraz z określeniem sposobu i kolejności przeprowadzenia dowodów.</w:t>
            </w:r>
          </w:p>
        </w:tc>
      </w:tr>
      <w:tr w:rsidR="007401D5" w:rsidRPr="00D128EF" w14:paraId="4DA19195" w14:textId="77777777" w:rsidTr="00522E6D">
        <w:tc>
          <w:tcPr>
            <w:tcW w:w="14029" w:type="dxa"/>
          </w:tcPr>
          <w:p w14:paraId="6DF791CF" w14:textId="16AB7932" w:rsidR="007401D5" w:rsidRPr="00D128EF" w:rsidRDefault="00574461" w:rsidP="00574461">
            <w:pPr>
              <w:pStyle w:val="ZLITPKTzmpktliter"/>
              <w:spacing w:line="240" w:lineRule="auto"/>
              <w:ind w:left="33" w:firstLine="0"/>
              <w:rPr>
                <w:rFonts w:ascii="Arial" w:eastAsiaTheme="minorHAnsi" w:hAnsi="Arial"/>
                <w:bCs w:val="0"/>
                <w:color w:val="002060"/>
                <w:spacing w:val="-2"/>
                <w:sz w:val="20"/>
                <w:lang w:eastAsia="en-US"/>
              </w:rPr>
            </w:pPr>
            <w:r w:rsidRPr="00D128EF">
              <w:rPr>
                <w:rFonts w:ascii="Arial" w:eastAsiaTheme="minorHAnsi" w:hAnsi="Arial"/>
                <w:b/>
                <w:color w:val="002060"/>
                <w:spacing w:val="-2"/>
                <w:sz w:val="20"/>
                <w:lang w:eastAsia="en-US"/>
              </w:rPr>
              <w:t>Art. 339 §</w:t>
            </w:r>
            <w:r w:rsidRPr="00D128EF">
              <w:rPr>
                <w:rFonts w:ascii="Arial" w:hAnsi="Arial"/>
                <w:b/>
                <w:color w:val="002060"/>
                <w:spacing w:val="-2"/>
                <w:sz w:val="20"/>
              </w:rPr>
              <w:t xml:space="preserve"> 3 (…) pkt </w:t>
            </w:r>
            <w:r w:rsidR="00843BE4" w:rsidRPr="00D128EF">
              <w:rPr>
                <w:rFonts w:ascii="Arial" w:eastAsiaTheme="minorHAnsi" w:hAnsi="Arial"/>
                <w:b/>
                <w:color w:val="002060"/>
                <w:spacing w:val="-2"/>
                <w:sz w:val="20"/>
                <w:lang w:eastAsia="en-US"/>
              </w:rPr>
              <w:t>8)</w:t>
            </w:r>
            <w:r w:rsidRPr="00D128EF">
              <w:rPr>
                <w:rFonts w:ascii="Arial" w:eastAsiaTheme="minorHAnsi" w:hAnsi="Arial"/>
                <w:bCs w:val="0"/>
                <w:color w:val="002060"/>
                <w:spacing w:val="-2"/>
                <w:sz w:val="20"/>
                <w:lang w:eastAsia="en-US"/>
              </w:rPr>
              <w:t xml:space="preserve"> </w:t>
            </w:r>
            <w:r w:rsidR="00843BE4" w:rsidRPr="00D128EF">
              <w:rPr>
                <w:rFonts w:ascii="Arial" w:eastAsiaTheme="minorHAnsi" w:hAnsi="Arial"/>
                <w:bCs w:val="0"/>
                <w:color w:val="002060"/>
                <w:spacing w:val="-2"/>
                <w:sz w:val="20"/>
                <w:lang w:eastAsia="en-US"/>
              </w:rPr>
              <w:t>wydania postanowienia w przedmiocie uznania udziału obrońcy w postępowaniu za nieobowiązkowy wobec treści opinii biegłych psychiatrów i spełniania warunków określonych w art. 79 § 4.</w:t>
            </w:r>
          </w:p>
        </w:tc>
      </w:tr>
      <w:tr w:rsidR="00574461" w:rsidRPr="00D128EF" w14:paraId="6A08CC41" w14:textId="77777777" w:rsidTr="00522E6D">
        <w:tc>
          <w:tcPr>
            <w:tcW w:w="14029" w:type="dxa"/>
          </w:tcPr>
          <w:p w14:paraId="737852AE" w14:textId="2C729FD5" w:rsidR="00574461" w:rsidRPr="00D128EF" w:rsidRDefault="00574461" w:rsidP="00574461">
            <w:pPr>
              <w:pStyle w:val="ZLITPKTzmpktliter"/>
              <w:spacing w:line="240" w:lineRule="auto"/>
              <w:ind w:left="33" w:firstLine="0"/>
              <w:jc w:val="left"/>
              <w:rPr>
                <w:rFonts w:ascii="Arial" w:eastAsiaTheme="minorHAnsi" w:hAnsi="Arial"/>
                <w:bCs w:val="0"/>
                <w:strike/>
                <w:color w:val="FF0000"/>
                <w:spacing w:val="-2"/>
                <w:sz w:val="20"/>
                <w:lang w:eastAsia="en-US"/>
              </w:rPr>
            </w:pPr>
            <w:r w:rsidRPr="00D128EF">
              <w:rPr>
                <w:rFonts w:ascii="Arial" w:eastAsiaTheme="minorHAnsi" w:hAnsi="Arial"/>
                <w:b/>
                <w:strike/>
                <w:color w:val="FF0000"/>
                <w:spacing w:val="-2"/>
                <w:sz w:val="20"/>
                <w:lang w:eastAsia="en-US"/>
              </w:rPr>
              <w:t>Art. 339 § 3b.</w:t>
            </w:r>
            <w:r w:rsidRPr="00D128EF">
              <w:rPr>
                <w:rFonts w:ascii="Arial" w:eastAsiaTheme="minorHAnsi" w:hAnsi="Arial"/>
                <w:bCs w:val="0"/>
                <w:strike/>
                <w:color w:val="FF0000"/>
                <w:spacing w:val="-2"/>
                <w:sz w:val="20"/>
                <w:lang w:eastAsia="en-US"/>
              </w:rPr>
              <w:t xml:space="preserve"> Jeżeli akt oskarżenia pochodzi od oskarżyciela posiłkowego, prezes sądu na wniosek oskarżonego kieruje sprawę na posiedzenie w celu rozstrzygnięcia, czy zachodzi potrzeba umorzenia postępowania na podstawie art. 17 § 1 pkt 9.</w:t>
            </w:r>
          </w:p>
        </w:tc>
      </w:tr>
      <w:tr w:rsidR="00574461" w:rsidRPr="00D128EF" w14:paraId="359C8C72" w14:textId="77777777" w:rsidTr="00522E6D">
        <w:tc>
          <w:tcPr>
            <w:tcW w:w="14029" w:type="dxa"/>
          </w:tcPr>
          <w:p w14:paraId="67D370D5" w14:textId="071960A7" w:rsidR="00574461" w:rsidRPr="00D128EF" w:rsidRDefault="00574461" w:rsidP="00574461">
            <w:pPr>
              <w:pStyle w:val="ZLITPKTzmpktliter"/>
              <w:spacing w:line="240" w:lineRule="auto"/>
              <w:ind w:left="33" w:firstLine="0"/>
              <w:jc w:val="left"/>
              <w:rPr>
                <w:rFonts w:ascii="Arial" w:eastAsiaTheme="minorHAnsi" w:hAnsi="Arial"/>
                <w:bCs w:val="0"/>
                <w:color w:val="000000" w:themeColor="text1"/>
                <w:spacing w:val="-2"/>
                <w:sz w:val="20"/>
                <w:lang w:eastAsia="en-US"/>
              </w:rPr>
            </w:pPr>
            <w:r w:rsidRPr="00D128EF">
              <w:rPr>
                <w:rFonts w:ascii="Arial" w:eastAsiaTheme="minorHAnsi" w:hAnsi="Arial"/>
                <w:b/>
                <w:color w:val="000000" w:themeColor="text1"/>
                <w:spacing w:val="-2"/>
                <w:sz w:val="20"/>
                <w:lang w:eastAsia="en-US"/>
              </w:rPr>
              <w:t>Art. 339 § 5.</w:t>
            </w:r>
            <w:r w:rsidRPr="00D128EF">
              <w:rPr>
                <w:rFonts w:ascii="Arial" w:eastAsiaTheme="minorHAnsi" w:hAnsi="Arial"/>
                <w:bCs w:val="0"/>
                <w:color w:val="000000" w:themeColor="text1"/>
                <w:spacing w:val="-2"/>
                <w:sz w:val="20"/>
                <w:lang w:eastAsia="en-US"/>
              </w:rPr>
              <w:t xml:space="preserve"> Strony, obrońcy i pełnomocnicy mogą wziąć udział w posiedzeniach wymienionych w § 1 oraz w § 3 pkt 1, 2 i 6 oraz § 3b, z tym że udział prokuratora i obrońcy w posiedzeniu w przedmiocie orzeczenia środka zabezpieczającego określonego w art. 93a § 1 pkt 4 Kodeksu karnego jest obowiązkowy. Pokrzywdzony ma prawo wziąć udział w posiedzeniach wymienionych w § 3 pkt 1 i 2. Zawiadamiając pokrzywdzonego o posiedzeniu poucza się go o możliwości zakończenia postępowania bez przeprowadzenia rozprawy oraz wcześniejszego złożenia oświadczenia, o którym mowa w art. 54 § 1.</w:t>
            </w:r>
            <w:r w:rsidRPr="00D128EF">
              <w:rPr>
                <w:rFonts w:ascii="Arial" w:eastAsiaTheme="minorHAnsi" w:hAnsi="Arial"/>
                <w:bCs w:val="0"/>
                <w:strike/>
                <w:color w:val="FF0000"/>
                <w:spacing w:val="-2"/>
                <w:sz w:val="20"/>
                <w:lang w:eastAsia="en-US"/>
              </w:rPr>
              <w:t>Do prokuratora, niebędącego stroną postępowania, biorącego udział w posiedzeniu wyznaczonym na podstawie § 3b, stosuje się odpowiednio przepisy dotyczące jego udziału w postępowaniu w charakterze uczestnika, o którym mowa w art. 55 § 5.</w:t>
            </w:r>
          </w:p>
        </w:tc>
      </w:tr>
      <w:tr w:rsidR="007401D5" w:rsidRPr="00D128EF" w14:paraId="4B6D33BB" w14:textId="77777777" w:rsidTr="00522E6D">
        <w:tc>
          <w:tcPr>
            <w:tcW w:w="14029" w:type="dxa"/>
          </w:tcPr>
          <w:p w14:paraId="48324426" w14:textId="0B913F67" w:rsidR="007401D5" w:rsidRPr="00D128EF" w:rsidRDefault="00843BE4" w:rsidP="00843BE4">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 360 §  2. </w:t>
            </w:r>
            <w:r w:rsidRPr="00D128EF">
              <w:rPr>
                <w:rFonts w:ascii="Arial" w:hAnsi="Arial" w:cs="Arial"/>
                <w:strike/>
                <w:color w:val="FF0000"/>
                <w:spacing w:val="-2"/>
                <w:sz w:val="20"/>
                <w:szCs w:val="20"/>
              </w:rPr>
              <w:t>Jeżeli prokurator sprzeciwi się wyłączeniu jawności, rozprawa odbywa się jawnie.</w:t>
            </w:r>
          </w:p>
        </w:tc>
      </w:tr>
      <w:tr w:rsidR="00A85AB5" w:rsidRPr="00D128EF" w14:paraId="1D719928" w14:textId="77777777" w:rsidTr="00522E6D">
        <w:tc>
          <w:tcPr>
            <w:tcW w:w="14029" w:type="dxa"/>
          </w:tcPr>
          <w:p w14:paraId="5A6A250C" w14:textId="610FB1B5" w:rsidR="002340A3" w:rsidRPr="00D128EF" w:rsidRDefault="002340A3" w:rsidP="002340A3">
            <w:pPr>
              <w:ind w:firstLine="0"/>
              <w:jc w:val="left"/>
              <w:rPr>
                <w:rFonts w:ascii="Arial" w:hAnsi="Arial" w:cs="Arial"/>
                <w:bCs/>
                <w:strike/>
                <w:color w:val="FF0000"/>
                <w:spacing w:val="-2"/>
                <w:sz w:val="20"/>
                <w:szCs w:val="20"/>
              </w:rPr>
            </w:pPr>
            <w:r w:rsidRPr="00D128EF">
              <w:rPr>
                <w:rFonts w:ascii="Arial" w:hAnsi="Arial" w:cs="Arial"/>
                <w:b/>
                <w:strike/>
                <w:color w:val="FF0000"/>
                <w:spacing w:val="-2"/>
                <w:sz w:val="20"/>
                <w:szCs w:val="20"/>
              </w:rPr>
              <w:t xml:space="preserve">Art. 368a §  1. </w:t>
            </w:r>
            <w:r w:rsidRPr="00D128EF">
              <w:rPr>
                <w:rFonts w:ascii="Arial" w:hAnsi="Arial" w:cs="Arial"/>
                <w:bCs/>
                <w:strike/>
                <w:color w:val="FF0000"/>
                <w:spacing w:val="-2"/>
                <w:sz w:val="20"/>
                <w:szCs w:val="20"/>
              </w:rPr>
              <w:t>Jeżeli w toku rozprawy głównej w sprawie, w której akt oskarżenia pochodzi od oskarżyciela posiłkowego, oskarżony złożył wniosek o umorzenie postępowania na podstawie art. 17 § 1 pkt 9, wniosek podlega niezwłocznemu rozpoznaniu. Przepisu art. 349 § 7 nie stosuje się. Do czasu rozstrzygnięcia wniosku dokonuje się jedynie czynności niecierpiących zwłoki.</w:t>
            </w:r>
          </w:p>
          <w:p w14:paraId="1D95F8AC" w14:textId="461EB308" w:rsidR="00A85AB5" w:rsidRPr="00D128EF" w:rsidRDefault="002340A3" w:rsidP="002340A3">
            <w:pPr>
              <w:ind w:firstLine="0"/>
              <w:jc w:val="left"/>
              <w:rPr>
                <w:rFonts w:ascii="Arial" w:hAnsi="Arial" w:cs="Arial"/>
                <w:b/>
                <w:color w:val="002060"/>
                <w:spacing w:val="-2"/>
                <w:sz w:val="20"/>
                <w:szCs w:val="20"/>
              </w:rPr>
            </w:pPr>
            <w:r w:rsidRPr="00D128EF">
              <w:rPr>
                <w:rFonts w:ascii="Arial" w:hAnsi="Arial" w:cs="Arial"/>
                <w:bCs/>
                <w:strike/>
                <w:color w:val="FF0000"/>
                <w:spacing w:val="-2"/>
                <w:sz w:val="20"/>
                <w:szCs w:val="20"/>
              </w:rPr>
              <w:t>§  2.  Na postanowienie w przedmiocie wniosku przysługuje zażalenie.</w:t>
            </w:r>
          </w:p>
        </w:tc>
      </w:tr>
      <w:tr w:rsidR="00A85AB5" w:rsidRPr="00D128EF" w14:paraId="35CD58DF" w14:textId="77777777" w:rsidTr="00522E6D">
        <w:tc>
          <w:tcPr>
            <w:tcW w:w="14029" w:type="dxa"/>
          </w:tcPr>
          <w:p w14:paraId="76E80F8C" w14:textId="159E3F95" w:rsidR="004836CF" w:rsidRPr="00D128EF" w:rsidRDefault="004836CF" w:rsidP="004836CF">
            <w:pPr>
              <w:ind w:firstLine="0"/>
              <w:jc w:val="left"/>
              <w:rPr>
                <w:rFonts w:ascii="Arial" w:hAnsi="Arial" w:cs="Arial"/>
                <w:bCs/>
                <w:spacing w:val="-2"/>
                <w:sz w:val="20"/>
                <w:szCs w:val="20"/>
              </w:rPr>
            </w:pPr>
            <w:r w:rsidRPr="00D128EF">
              <w:rPr>
                <w:rFonts w:ascii="Arial" w:hAnsi="Arial" w:cs="Arial"/>
                <w:b/>
                <w:spacing w:val="-2"/>
                <w:sz w:val="20"/>
                <w:szCs w:val="20"/>
              </w:rPr>
              <w:t>Art. 374 § 3.</w:t>
            </w:r>
            <w:r w:rsidRPr="00D128EF">
              <w:rPr>
                <w:rFonts w:ascii="Arial" w:hAnsi="Arial" w:cs="Arial"/>
                <w:bCs/>
                <w:spacing w:val="-2"/>
                <w:sz w:val="20"/>
                <w:szCs w:val="20"/>
              </w:rPr>
              <w:t xml:space="preserve"> Przewodniczący, na wniosek prokuratora, </w:t>
            </w:r>
            <w:r w:rsidRPr="00D128EF">
              <w:rPr>
                <w:rFonts w:ascii="Arial" w:hAnsi="Arial" w:cs="Arial"/>
                <w:bCs/>
                <w:strike/>
                <w:color w:val="FF0000"/>
                <w:spacing w:val="-2"/>
                <w:sz w:val="20"/>
                <w:szCs w:val="20"/>
              </w:rPr>
              <w:t>wyraża zgodę</w:t>
            </w:r>
            <w:r w:rsidR="002340A3" w:rsidRPr="00D128EF">
              <w:rPr>
                <w:rFonts w:ascii="Arial" w:hAnsi="Arial" w:cs="Arial"/>
                <w:bCs/>
                <w:color w:val="FF0000"/>
                <w:spacing w:val="-2"/>
                <w:sz w:val="20"/>
                <w:szCs w:val="20"/>
              </w:rPr>
              <w:t xml:space="preserve"> </w:t>
            </w:r>
            <w:r w:rsidR="002340A3" w:rsidRPr="008923A3">
              <w:rPr>
                <w:rFonts w:ascii="Arial" w:hAnsi="Arial" w:cs="Arial"/>
                <w:bCs/>
                <w:color w:val="002060"/>
                <w:spacing w:val="-2"/>
                <w:sz w:val="20"/>
                <w:szCs w:val="20"/>
              </w:rPr>
              <w:t>może wyrazić zgodę</w:t>
            </w:r>
            <w:r w:rsidR="002340A3" w:rsidRPr="00D128EF">
              <w:rPr>
                <w:rFonts w:ascii="Arial" w:hAnsi="Arial" w:cs="Arial"/>
                <w:color w:val="002060"/>
                <w:sz w:val="20"/>
                <w:szCs w:val="20"/>
              </w:rPr>
              <w:t xml:space="preserve"> </w:t>
            </w:r>
            <w:r w:rsidRPr="00D128EF">
              <w:rPr>
                <w:rFonts w:ascii="Arial" w:hAnsi="Arial" w:cs="Arial"/>
                <w:bCs/>
                <w:spacing w:val="-2"/>
                <w:sz w:val="20"/>
                <w:szCs w:val="20"/>
              </w:rPr>
              <w:t>na jego udział w rozprawie przy użyciu urządzeń technicznych, umożliwiających udział w rozprawie na odległość z jednoczesnym bezpośrednim przekazem obrazu i dźwięku, jeżeli nie stoją temu na przeszkodzie względy techniczne.</w:t>
            </w:r>
          </w:p>
          <w:p w14:paraId="5BB47A86" w14:textId="4727B6A8" w:rsidR="00A85AB5" w:rsidRPr="00D128EF" w:rsidRDefault="004836CF" w:rsidP="002340A3">
            <w:pPr>
              <w:ind w:firstLine="0"/>
              <w:jc w:val="left"/>
              <w:rPr>
                <w:rFonts w:ascii="Arial" w:hAnsi="Arial" w:cs="Arial"/>
                <w:b/>
                <w:color w:val="002060"/>
                <w:spacing w:val="-2"/>
                <w:sz w:val="20"/>
                <w:szCs w:val="20"/>
              </w:rPr>
            </w:pPr>
            <w:r w:rsidRPr="00D128EF">
              <w:rPr>
                <w:rFonts w:ascii="Arial" w:hAnsi="Arial" w:cs="Arial"/>
                <w:b/>
                <w:spacing w:val="-2"/>
                <w:sz w:val="20"/>
                <w:szCs w:val="20"/>
              </w:rPr>
              <w:t>Art. 374 § 7.</w:t>
            </w:r>
            <w:r w:rsidRPr="00D128EF">
              <w:rPr>
                <w:rFonts w:ascii="Arial" w:hAnsi="Arial" w:cs="Arial"/>
                <w:bCs/>
                <w:spacing w:val="-2"/>
                <w:sz w:val="20"/>
                <w:szCs w:val="20"/>
              </w:rPr>
              <w:t xml:space="preserve"> W wypadku gdy obrońca bierze udział w rozprawie przebywając w innym miejscu niż oskarżony, sąd na wniosek oskarżonego lub obrońcy </w:t>
            </w:r>
            <w:r w:rsidRPr="00D128EF">
              <w:rPr>
                <w:rFonts w:ascii="Arial" w:hAnsi="Arial" w:cs="Arial"/>
                <w:bCs/>
                <w:strike/>
                <w:color w:val="FF0000"/>
                <w:spacing w:val="-2"/>
                <w:sz w:val="20"/>
                <w:szCs w:val="20"/>
              </w:rPr>
              <w:t>może zarządzić</w:t>
            </w:r>
            <w:r w:rsidRPr="00D128EF">
              <w:rPr>
                <w:rFonts w:ascii="Arial" w:hAnsi="Arial" w:cs="Arial"/>
                <w:bCs/>
                <w:color w:val="FF0000"/>
                <w:spacing w:val="-2"/>
                <w:sz w:val="20"/>
                <w:szCs w:val="20"/>
              </w:rPr>
              <w:t xml:space="preserve"> </w:t>
            </w:r>
            <w:r w:rsidR="002340A3" w:rsidRPr="008923A3">
              <w:rPr>
                <w:rFonts w:ascii="Arial" w:hAnsi="Arial" w:cs="Arial"/>
                <w:bCs/>
                <w:color w:val="002060"/>
                <w:spacing w:val="-2"/>
                <w:sz w:val="20"/>
                <w:szCs w:val="20"/>
              </w:rPr>
              <w:t>zarządza</w:t>
            </w:r>
            <w:r w:rsidR="002340A3" w:rsidRPr="00D128EF">
              <w:rPr>
                <w:rFonts w:ascii="Arial" w:hAnsi="Arial" w:cs="Arial"/>
                <w:bCs/>
                <w:color w:val="002060"/>
                <w:spacing w:val="-2"/>
                <w:sz w:val="20"/>
                <w:szCs w:val="20"/>
              </w:rPr>
              <w:t xml:space="preserve"> </w:t>
            </w:r>
            <w:r w:rsidRPr="00D128EF">
              <w:rPr>
                <w:rFonts w:ascii="Arial" w:hAnsi="Arial" w:cs="Arial"/>
                <w:bCs/>
                <w:spacing w:val="-2"/>
                <w:sz w:val="20"/>
                <w:szCs w:val="20"/>
              </w:rPr>
              <w:t>przerwę na czas oznaczony, w celu kontynuacji rozprawy w tym samym dniu, aby umożliwić telefoniczny kontakt obrońcy z oskarżonym, chyba że złożenie wniosku w sposób oczywisty nie służy realizacji prawa do obrony, a w szczególności zmierza do zakłócenia lub nieuzasadnionego przedłużenia rozprawy.</w:t>
            </w:r>
          </w:p>
        </w:tc>
      </w:tr>
      <w:tr w:rsidR="00A85AB5" w:rsidRPr="00D128EF" w14:paraId="6304C9E0" w14:textId="77777777" w:rsidTr="00522E6D">
        <w:tc>
          <w:tcPr>
            <w:tcW w:w="14029" w:type="dxa"/>
          </w:tcPr>
          <w:p w14:paraId="26070BAF" w14:textId="5B0EFD26" w:rsidR="004836CF" w:rsidRPr="00D128EF" w:rsidRDefault="004836CF" w:rsidP="004836CF">
            <w:pPr>
              <w:ind w:firstLine="0"/>
              <w:jc w:val="left"/>
              <w:rPr>
                <w:rFonts w:ascii="Arial" w:hAnsi="Arial" w:cs="Arial"/>
                <w:b/>
                <w:spacing w:val="-2"/>
                <w:sz w:val="20"/>
                <w:szCs w:val="20"/>
              </w:rPr>
            </w:pPr>
            <w:r w:rsidRPr="00D128EF">
              <w:rPr>
                <w:rFonts w:ascii="Arial" w:hAnsi="Arial" w:cs="Arial"/>
                <w:b/>
                <w:spacing w:val="-2"/>
                <w:sz w:val="20"/>
                <w:szCs w:val="20"/>
              </w:rPr>
              <w:t xml:space="preserve">Art. 387 §  1.  </w:t>
            </w:r>
            <w:r w:rsidRPr="00D128EF">
              <w:rPr>
                <w:rFonts w:ascii="Arial" w:hAnsi="Arial" w:cs="Arial"/>
                <w:bCs/>
                <w:spacing w:val="-2"/>
                <w:sz w:val="20"/>
                <w:szCs w:val="20"/>
              </w:rPr>
              <w:t>Jeżeli oskarżony lub obrońca nie stawił się na rozprawę, będąc zawiadomiony o jej terminie, sąd, w szczególnie uzasadnionych wypadkach, może przeprowadzić postępowanie dowodowe podczas jego nieobecności, chociażby usprawiedliwił należycie niestawiennictwo, a w szczególności przesłuchać świadków, którzy stawili się na rozprawę</w:t>
            </w:r>
            <w:r w:rsidRPr="00D128EF">
              <w:rPr>
                <w:rFonts w:ascii="Arial" w:hAnsi="Arial" w:cs="Arial"/>
                <w:bCs/>
                <w:color w:val="FF0000"/>
                <w:spacing w:val="-2"/>
                <w:sz w:val="20"/>
                <w:szCs w:val="20"/>
              </w:rPr>
              <w:t>,</w:t>
            </w:r>
            <w:r w:rsidRPr="00D128EF">
              <w:rPr>
                <w:rFonts w:ascii="Arial" w:hAnsi="Arial" w:cs="Arial"/>
                <w:bCs/>
                <w:spacing w:val="-2"/>
                <w:sz w:val="20"/>
                <w:szCs w:val="20"/>
              </w:rPr>
              <w:t xml:space="preserve"> </w:t>
            </w:r>
            <w:r w:rsidRPr="00D128EF">
              <w:rPr>
                <w:rFonts w:ascii="Arial" w:hAnsi="Arial" w:cs="Arial"/>
                <w:sz w:val="20"/>
                <w:szCs w:val="20"/>
              </w:rPr>
              <w:t xml:space="preserve"> </w:t>
            </w:r>
            <w:r w:rsidRPr="008923A3">
              <w:rPr>
                <w:rFonts w:ascii="Arial" w:hAnsi="Arial" w:cs="Arial"/>
                <w:bCs/>
                <w:color w:val="002060"/>
                <w:spacing w:val="-2"/>
                <w:sz w:val="20"/>
                <w:szCs w:val="20"/>
              </w:rPr>
              <w:t>i co do których zachodzi niebezpieczeństwo, że nie będzie ich można przesłuchać w późniejszym terminie,</w:t>
            </w:r>
            <w:r w:rsidRPr="00D128EF">
              <w:rPr>
                <w:rFonts w:ascii="Arial" w:hAnsi="Arial" w:cs="Arial"/>
                <w:b/>
                <w:color w:val="002060"/>
                <w:spacing w:val="-2"/>
                <w:sz w:val="20"/>
                <w:szCs w:val="20"/>
              </w:rPr>
              <w:t xml:space="preserve"> </w:t>
            </w:r>
            <w:r w:rsidRPr="00D128EF">
              <w:rPr>
                <w:rFonts w:ascii="Arial" w:hAnsi="Arial" w:cs="Arial"/>
                <w:bCs/>
                <w:spacing w:val="-2"/>
                <w:sz w:val="20"/>
                <w:szCs w:val="20"/>
              </w:rPr>
              <w:t>nawet jeżeli oskarżony nie złożył jeszcze wyjaśnień.</w:t>
            </w:r>
            <w:r w:rsidRPr="00D128EF">
              <w:rPr>
                <w:rFonts w:ascii="Arial" w:hAnsi="Arial" w:cs="Arial"/>
                <w:sz w:val="20"/>
                <w:szCs w:val="20"/>
              </w:rPr>
              <w:t xml:space="preserve"> </w:t>
            </w:r>
            <w:r w:rsidRPr="00D128EF">
              <w:rPr>
                <w:rFonts w:ascii="Arial" w:hAnsi="Arial" w:cs="Arial"/>
                <w:bCs/>
                <w:color w:val="002060"/>
                <w:spacing w:val="-2"/>
                <w:sz w:val="20"/>
                <w:szCs w:val="20"/>
              </w:rPr>
              <w:t>Postępowania dowodowego nie przeprowadza się pod nieobecność obrońcy, którego udział w rozprawie jest obowiązkowy.</w:t>
            </w:r>
          </w:p>
          <w:p w14:paraId="4B8AD375" w14:textId="77777777" w:rsidR="004836CF" w:rsidRPr="00D128EF" w:rsidRDefault="004836CF" w:rsidP="004836CF">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 xml:space="preserve">§  4. </w:t>
            </w:r>
            <w:r w:rsidRPr="00D128EF">
              <w:rPr>
                <w:rFonts w:ascii="Arial" w:hAnsi="Arial" w:cs="Arial"/>
                <w:bCs/>
                <w:strike/>
                <w:color w:val="FF0000"/>
                <w:spacing w:val="-2"/>
                <w:sz w:val="20"/>
                <w:szCs w:val="20"/>
              </w:rPr>
              <w:tab/>
              <w:t>W razie niezłożenia wniosku w terminie, o którym mowa w § 3 zdanie pierwsze, prawo do jego złożenia wygasa i w dalszym postępowaniu nie jest dopuszczalne podnoszenie zarzutu naruszenia gwarancji procesowych, w szczególności prawa do obrony, wskutek przeprowadzenia tego dowodu podczas nieobecności oskarżonego lub obrońcy.</w:t>
            </w:r>
          </w:p>
          <w:p w14:paraId="27DEFB8F" w14:textId="77777777" w:rsidR="004836CF" w:rsidRPr="00D128EF" w:rsidRDefault="004836CF" w:rsidP="004836CF">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 xml:space="preserve">§  5. </w:t>
            </w:r>
            <w:r w:rsidRPr="00D128EF">
              <w:rPr>
                <w:rFonts w:ascii="Arial" w:hAnsi="Arial" w:cs="Arial"/>
                <w:bCs/>
                <w:strike/>
                <w:color w:val="FF0000"/>
                <w:spacing w:val="-2"/>
                <w:sz w:val="20"/>
                <w:szCs w:val="20"/>
              </w:rPr>
              <w:tab/>
              <w:t>We wniosku o uzupełniające przeprowadzenie dowodu oskarżony lub obrońca ma obowiązek wykazać, że sposób przeprowadzenia dowodu podczas jego nieobecności naruszał gwarancje procesowe, w szczególności prawo do obrony.</w:t>
            </w:r>
          </w:p>
          <w:p w14:paraId="30655E70" w14:textId="77777777" w:rsidR="004836CF" w:rsidRPr="00D128EF" w:rsidRDefault="004836CF" w:rsidP="004836CF">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lastRenderedPageBreak/>
              <w:t xml:space="preserve">§  6. </w:t>
            </w:r>
            <w:r w:rsidRPr="00D128EF">
              <w:rPr>
                <w:rFonts w:ascii="Arial" w:hAnsi="Arial" w:cs="Arial"/>
                <w:bCs/>
                <w:strike/>
                <w:color w:val="FF0000"/>
                <w:spacing w:val="-2"/>
                <w:sz w:val="20"/>
                <w:szCs w:val="20"/>
              </w:rPr>
              <w:tab/>
              <w:t>W razie uwzględnienia wniosku o uzupełniające przeprowadzenie dowodu sąd przeprowadza dowód uzupełniająco, jedynie w zakresie, w którym wykazano naruszenie gwarancji procesowych, w szczególności prawa do obrony.</w:t>
            </w:r>
          </w:p>
          <w:p w14:paraId="311DE5C7" w14:textId="3F9C0B23" w:rsidR="004836CF" w:rsidRPr="00D128EF" w:rsidRDefault="004836CF" w:rsidP="004836CF">
            <w:pPr>
              <w:ind w:firstLine="0"/>
              <w:jc w:val="left"/>
              <w:rPr>
                <w:rFonts w:ascii="Arial" w:hAnsi="Arial" w:cs="Arial"/>
                <w:b/>
                <w:color w:val="002060"/>
                <w:spacing w:val="-2"/>
                <w:sz w:val="20"/>
                <w:szCs w:val="20"/>
              </w:rPr>
            </w:pPr>
            <w:r w:rsidRPr="00D128EF">
              <w:rPr>
                <w:rFonts w:ascii="Arial" w:hAnsi="Arial" w:cs="Arial"/>
                <w:bCs/>
                <w:spacing w:val="-2"/>
                <w:sz w:val="20"/>
                <w:szCs w:val="20"/>
              </w:rPr>
              <w:t xml:space="preserve">§  7. </w:t>
            </w:r>
            <w:r w:rsidRPr="00D128EF">
              <w:rPr>
                <w:rFonts w:ascii="Arial" w:hAnsi="Arial" w:cs="Arial"/>
                <w:bCs/>
                <w:spacing w:val="-2"/>
                <w:sz w:val="20"/>
                <w:szCs w:val="20"/>
              </w:rPr>
              <w:tab/>
              <w:t xml:space="preserve">Jeżeli oskarżony lub obrońca stawi się na termin rozprawy, o którym mowa w § 3 zdanie pierwsze, przewodniczący poucza go o możliwości złożenia wniosku o uzupełniające przeprowadzenie dowodu przeprowadzonego podczas jego nieobecności </w:t>
            </w:r>
            <w:r w:rsidRPr="00D128EF">
              <w:rPr>
                <w:rFonts w:ascii="Arial" w:hAnsi="Arial" w:cs="Arial"/>
                <w:bCs/>
                <w:strike/>
                <w:color w:val="FF0000"/>
                <w:spacing w:val="-2"/>
                <w:sz w:val="20"/>
                <w:szCs w:val="20"/>
              </w:rPr>
              <w:t>oraz o treści przepisów § 4 i 5, a także umożliwia mu wypowiedzenie się co do tej kwestii.</w:t>
            </w:r>
          </w:p>
        </w:tc>
      </w:tr>
      <w:tr w:rsidR="00A85AB5" w:rsidRPr="00D128EF" w14:paraId="246B9C13" w14:textId="77777777" w:rsidTr="00522E6D">
        <w:tc>
          <w:tcPr>
            <w:tcW w:w="14029" w:type="dxa"/>
          </w:tcPr>
          <w:p w14:paraId="0540DD04" w14:textId="17347807" w:rsidR="00A85AB5" w:rsidRPr="00D128EF" w:rsidRDefault="00A85AB5" w:rsidP="00F66CAB">
            <w:pPr>
              <w:ind w:firstLine="0"/>
              <w:jc w:val="left"/>
              <w:rPr>
                <w:rFonts w:ascii="Arial" w:hAnsi="Arial" w:cs="Arial"/>
                <w:bCs/>
                <w:spacing w:val="-2"/>
                <w:sz w:val="20"/>
                <w:szCs w:val="20"/>
              </w:rPr>
            </w:pPr>
            <w:r w:rsidRPr="00D128EF">
              <w:rPr>
                <w:rFonts w:ascii="Arial" w:hAnsi="Arial" w:cs="Arial"/>
                <w:b/>
                <w:spacing w:val="-2"/>
                <w:sz w:val="20"/>
                <w:szCs w:val="20"/>
              </w:rPr>
              <w:lastRenderedPageBreak/>
              <w:t>Art. 387 § 2</w:t>
            </w:r>
            <w:r w:rsidRPr="00D128EF">
              <w:rPr>
                <w:rFonts w:ascii="Arial" w:hAnsi="Arial" w:cs="Arial"/>
                <w:bCs/>
                <w:spacing w:val="-2"/>
                <w:sz w:val="20"/>
                <w:szCs w:val="20"/>
              </w:rPr>
              <w:t xml:space="preserve"> </w:t>
            </w:r>
            <w:r w:rsidR="004836CF" w:rsidRPr="00D128EF">
              <w:rPr>
                <w:rFonts w:ascii="Arial" w:hAnsi="Arial" w:cs="Arial"/>
                <w:sz w:val="20"/>
                <w:szCs w:val="20"/>
              </w:rPr>
              <w:t xml:space="preserve"> </w:t>
            </w:r>
            <w:r w:rsidR="004836CF" w:rsidRPr="00D128EF">
              <w:rPr>
                <w:rFonts w:ascii="Arial" w:hAnsi="Arial" w:cs="Arial"/>
                <w:bCs/>
                <w:spacing w:val="-2"/>
                <w:sz w:val="20"/>
                <w:szCs w:val="20"/>
              </w:rPr>
              <w:t xml:space="preserve">Sąd może uwzględnić wniosek o wydanie wyroku skazującego, gdy okoliczności popełnienia przestępstwa i wina nie budzą wątpliwości, a cele postępowania zostaną osiągnięte mimo nieprzeprowadzenia rozprawy w całości; uwzględnienie wniosku jest możliwe jedynie wówczas, gdy prokurator </w:t>
            </w:r>
            <w:r w:rsidR="004836CF" w:rsidRPr="00D128EF">
              <w:rPr>
                <w:rFonts w:ascii="Arial" w:hAnsi="Arial" w:cs="Arial"/>
                <w:sz w:val="20"/>
                <w:szCs w:val="20"/>
              </w:rPr>
              <w:t xml:space="preserve"> </w:t>
            </w:r>
            <w:r w:rsidR="004836CF" w:rsidRPr="00D128EF">
              <w:rPr>
                <w:rFonts w:ascii="Arial" w:hAnsi="Arial" w:cs="Arial"/>
                <w:b/>
                <w:color w:val="002060"/>
                <w:spacing w:val="-2"/>
                <w:sz w:val="20"/>
                <w:szCs w:val="20"/>
              </w:rPr>
              <w:t>obecny na rozprawie nie sprzeciwi się wnioskowi</w:t>
            </w:r>
            <w:r w:rsidR="004836CF" w:rsidRPr="00D128EF">
              <w:rPr>
                <w:rFonts w:ascii="Arial" w:hAnsi="Arial" w:cs="Arial"/>
                <w:bCs/>
                <w:color w:val="002060"/>
                <w:spacing w:val="-2"/>
                <w:sz w:val="20"/>
                <w:szCs w:val="20"/>
              </w:rPr>
              <w:t xml:space="preserve"> </w:t>
            </w:r>
            <w:r w:rsidR="004836CF" w:rsidRPr="00D128EF">
              <w:rPr>
                <w:rFonts w:ascii="Arial" w:hAnsi="Arial" w:cs="Arial"/>
                <w:bCs/>
                <w:strike/>
                <w:color w:val="FF0000"/>
                <w:spacing w:val="-2"/>
                <w:sz w:val="20"/>
                <w:szCs w:val="20"/>
              </w:rPr>
              <w:t>wyrazi zgodę</w:t>
            </w:r>
            <w:r w:rsidR="004836CF" w:rsidRPr="00D128EF">
              <w:rPr>
                <w:rFonts w:ascii="Arial" w:hAnsi="Arial" w:cs="Arial"/>
                <w:bCs/>
                <w:spacing w:val="-2"/>
                <w:sz w:val="20"/>
                <w:szCs w:val="20"/>
              </w:rPr>
              <w:t>, a pokrzywdzony należycie powiadomiony o terminie rozprawy oraz pouczony o możliwości zgłoszenia przez oskarżonego takiego wniosku nie zgłosi sprzeciwu. O treści wniosku należy powiadomić pokrzywdzonego, jeżeli wniosek został złożony przed powiadomieniem go o terminie rozprawy.</w:t>
            </w:r>
          </w:p>
        </w:tc>
      </w:tr>
      <w:tr w:rsidR="00F66CAB" w:rsidRPr="00D128EF" w14:paraId="5369DB35" w14:textId="77777777" w:rsidTr="00522E6D">
        <w:tc>
          <w:tcPr>
            <w:tcW w:w="14029" w:type="dxa"/>
          </w:tcPr>
          <w:p w14:paraId="1B1017B2" w14:textId="3E871D1F" w:rsidR="00F66CAB" w:rsidRPr="00D128EF" w:rsidRDefault="00F66CAB" w:rsidP="00F66CAB">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 402 §  2a.</w:t>
            </w:r>
            <w:r w:rsidRPr="00D128EF">
              <w:rPr>
                <w:rFonts w:ascii="Arial" w:hAnsi="Arial" w:cs="Arial"/>
                <w:strike/>
                <w:color w:val="FF0000"/>
                <w:spacing w:val="-2"/>
                <w:sz w:val="20"/>
                <w:szCs w:val="20"/>
              </w:rPr>
              <w:t>  Jeżeli w sprawie rozpoznawanej w składzie wieloosobowym zmianie z przyczyn losowych lub z powodu przeszkód prawnych uległ jeden z członków składu, rozprawę przerwaną można prowadzić po przerwie w dalszym ciągu, jeżeli nie zagraża to prawidłowości orzekania w sprawie.</w:t>
            </w:r>
          </w:p>
        </w:tc>
      </w:tr>
      <w:tr w:rsidR="00F66CAB" w:rsidRPr="00D128EF" w14:paraId="0713DA50" w14:textId="77777777" w:rsidTr="00522E6D">
        <w:tc>
          <w:tcPr>
            <w:tcW w:w="14029" w:type="dxa"/>
          </w:tcPr>
          <w:p w14:paraId="24B9CDAB" w14:textId="042C832F" w:rsidR="00F66CAB" w:rsidRPr="00D128EF" w:rsidRDefault="00F66CAB" w:rsidP="00F66CAB">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w:t>
            </w:r>
            <w:r w:rsidRPr="00D128EF">
              <w:rPr>
                <w:rFonts w:ascii="Arial" w:hAnsi="Arial" w:cs="Arial"/>
                <w:strike/>
                <w:color w:val="FF0000"/>
                <w:spacing w:val="-2"/>
                <w:sz w:val="20"/>
                <w:szCs w:val="20"/>
              </w:rPr>
              <w:t xml:space="preserve">. </w:t>
            </w:r>
            <w:r w:rsidRPr="00D128EF">
              <w:rPr>
                <w:rFonts w:ascii="Arial" w:hAnsi="Arial" w:cs="Arial"/>
                <w:b/>
                <w:bCs/>
                <w:strike/>
                <w:color w:val="FF0000"/>
                <w:spacing w:val="-2"/>
                <w:sz w:val="20"/>
                <w:szCs w:val="20"/>
              </w:rPr>
              <w:t>404 §  2a.</w:t>
            </w:r>
            <w:r w:rsidRPr="00D128EF">
              <w:rPr>
                <w:rFonts w:ascii="Arial" w:hAnsi="Arial" w:cs="Arial"/>
                <w:strike/>
                <w:color w:val="FF0000"/>
                <w:spacing w:val="-2"/>
                <w:sz w:val="20"/>
                <w:szCs w:val="20"/>
              </w:rPr>
              <w:t>  Jeżeli w sprawie rozpoznawanej w składzie wieloosobowym zmianie z przyczyn losowych lub z powodu przeszkód prawnych uległ jeden z członków składu, rozprawę odroczoną można prowadzić w dalszym ciągu, jeżeli nie zagraża to prawidłowości orzekania w sprawie.</w:t>
            </w:r>
          </w:p>
        </w:tc>
      </w:tr>
      <w:tr w:rsidR="00C1197D" w:rsidRPr="00D128EF" w14:paraId="067B06D9" w14:textId="77777777" w:rsidTr="00522E6D">
        <w:tc>
          <w:tcPr>
            <w:tcW w:w="14029" w:type="dxa"/>
          </w:tcPr>
          <w:p w14:paraId="00546155" w14:textId="51C9133A"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  404b.</w:t>
            </w:r>
            <w:r w:rsidRPr="00D128EF">
              <w:rPr>
                <w:rFonts w:ascii="Arial" w:hAnsi="Arial" w:cs="Arial"/>
                <w:strike/>
                <w:color w:val="FF0000"/>
                <w:spacing w:val="-2"/>
                <w:sz w:val="20"/>
                <w:szCs w:val="20"/>
              </w:rPr>
              <w:t>  §  1. W razie prowadzenia rozprawy w dalszym ciągu w wypadkach określonych w art. 402 § 2a lub art. 404 § 2a przed przystąpieniem do dalszych czynności dowodowych przewodniczący zarządza przerwę w rozprawie albo sąd rozprawę odracza na czas niezbędny do zapoznania się przez nowego członka składu orzekającego z dotychczasowym przebiegiem postępowania, w tym z przeprowadzonymi dowodami.</w:t>
            </w:r>
          </w:p>
          <w:p w14:paraId="266812A6" w14:textId="55920B0C"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2. Nowy członek składu orzekającego, po zapoznaniu się z dotychczasowym przebiegiem postępowania, w tym z przeprowadzonymi dowodami, oświadcza na piśmie lub do protokołu rozprawy, czy i w jakim zakresie uznaje za konieczne uzupełniające przeprowadzenie dowodów przeprowadzonych przed jego wstąpieniem do składu orzekającego.</w:t>
            </w:r>
          </w:p>
          <w:p w14:paraId="430DE0EF" w14:textId="37B0221B"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3. Sąd przeprowadza dowody wskazane w oświadczeniu, o którym mowa w § 2, chyba że jest to niemożliwe z przyczyn niezależnych od sądu.</w:t>
            </w:r>
          </w:p>
        </w:tc>
      </w:tr>
      <w:tr w:rsidR="00C1197D" w:rsidRPr="00D128EF" w14:paraId="0424AD1B" w14:textId="77777777" w:rsidTr="00522E6D">
        <w:tc>
          <w:tcPr>
            <w:tcW w:w="14029" w:type="dxa"/>
          </w:tcPr>
          <w:p w14:paraId="69A5DA35"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b/>
                <w:bCs/>
                <w:strike/>
                <w:color w:val="FF0000"/>
                <w:spacing w:val="-2"/>
                <w:sz w:val="20"/>
                <w:szCs w:val="20"/>
              </w:rPr>
              <w:t>Art.  404c.</w:t>
            </w:r>
            <w:r w:rsidRPr="00D128EF">
              <w:rPr>
                <w:rFonts w:ascii="Arial" w:hAnsi="Arial" w:cs="Arial"/>
                <w:strike/>
                <w:color w:val="FF0000"/>
                <w:spacing w:val="-2"/>
                <w:sz w:val="20"/>
                <w:szCs w:val="20"/>
              </w:rPr>
              <w:t>  §  1. Jeżeli przewodniczący uzna, że zachodzi potrzeba oceny, czy przeprowadzone dowody pozwalają na rozstrzygnięcie w przedmiocie odpowiedzialności karnej jednego lub niektórych z oskarżonych, może zarządzić przerwę w rozprawie na czas niezbędny dla przeprowadzenia narady w tym zakresie (narada wstępna). Do narady wstępnej stosuje się odpowiednio przepisy art. 108, art. 109 i art. 111.</w:t>
            </w:r>
          </w:p>
          <w:p w14:paraId="1AB10317"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2. Jeżeli po naradzie wstępnej sąd uzna, że przeprowadzone dowody pozwalają na rozstrzygnięcie, o którym mowa w § 1, i wydanie wyroku (wyrok częściowy), przewodniczący informuje o tym oskarżyciela publicznego oraz strony, których interesu prawnego rozstrzygnięcie dotyczy. Przepisy art. 405 stosuje się odpowiednio.</w:t>
            </w:r>
          </w:p>
          <w:p w14:paraId="13D0490C"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3. Po zamknięciu przewodu sądowego w odniesieniu do oskarżonego lub oskarżonych, których odpowiedzialności karnej dotyczyła narada wstępna, a przed udzieleniem głosu stronom, przewodniczący zarządza przerwę w rozprawie albo sąd rozprawę odracza w odniesieniu do pozostałych oskarżonych.</w:t>
            </w:r>
          </w:p>
          <w:p w14:paraId="388F13F9"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4. Jeżeli w sprawie rozpoznawanej w składzie jednego sędziego przeprowadzone dowody pozwalają na rozstrzygnięcie w przedmiocie odpowiedzialności karnej jednego lub niektórych oskarżonych, przepisu § 1 nie stosuje się, a przepisy § 2 i 3 stosuje się odpowiednio.</w:t>
            </w:r>
          </w:p>
          <w:p w14:paraId="63FDFD4A"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5.  Do postępowania po zamknięciu przewodu sądowego, o którym mowa w § 3, art. 406 oraz przepisy rozdziału 47 stosuje się odpowiednio, z tym że w przypadku, o którym mowa w art. 411 § 2, rozprawę prowadzi się w dalszym ciągu w odniesieniu do wszystkich oskarżonych.</w:t>
            </w:r>
          </w:p>
          <w:p w14:paraId="21EAE4D0"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  6.  Przepisów § 1-4 nie stosuje się, jeżeli:</w:t>
            </w:r>
          </w:p>
          <w:p w14:paraId="4B58CCBD"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oskarżonemu, o którym mowa w § 1, zarzucono popełnienie przestępstwa w warunkach przestępczego współdziałania z oskarżonym nieobjętym zakresem narady wstępnej;</w:t>
            </w:r>
          </w:p>
          <w:p w14:paraId="28B34BF3"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2) czyn oskarżonego, o którym mowa w § 1, pozostaje z czynem zarzucanym innemu oskarżonemu w takim związku, że rozstrzygnięcie w przedmiocie jego odpowiedzialności karnej wywarłoby wpływ na ustalenia w przedmiocie odpowiedzialności karnej oskarżonego nieobjętego zakresem narady wstępnej;</w:t>
            </w:r>
          </w:p>
          <w:p w14:paraId="0175623A" w14:textId="77777777"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3) wyrokiem częściowym nie mogą zostać objęte wszystkie czyny zarzucane oskarżonemu, o którym mowa w § 1;</w:t>
            </w:r>
          </w:p>
          <w:p w14:paraId="27E7D6B5" w14:textId="0B880F6F" w:rsidR="00C1197D" w:rsidRPr="00D128EF" w:rsidRDefault="00C1197D" w:rsidP="00C1197D">
            <w:pPr>
              <w:ind w:firstLine="0"/>
              <w:jc w:val="left"/>
              <w:rPr>
                <w:rFonts w:ascii="Arial" w:hAnsi="Arial" w:cs="Arial"/>
                <w:strike/>
                <w:color w:val="FF0000"/>
                <w:spacing w:val="-2"/>
                <w:sz w:val="20"/>
                <w:szCs w:val="20"/>
              </w:rPr>
            </w:pPr>
            <w:r w:rsidRPr="00D128EF">
              <w:rPr>
                <w:rFonts w:ascii="Arial" w:hAnsi="Arial" w:cs="Arial"/>
                <w:strike/>
                <w:color w:val="FF0000"/>
                <w:spacing w:val="-2"/>
                <w:sz w:val="20"/>
                <w:szCs w:val="20"/>
              </w:rPr>
              <w:t>4) wydanie wyroku częściowego uniemożliwiłoby pokrzywdzonemu realizację jego uprawnień.</w:t>
            </w:r>
          </w:p>
        </w:tc>
      </w:tr>
      <w:tr w:rsidR="00F66CAB" w:rsidRPr="00D128EF" w14:paraId="4EBD72FC" w14:textId="77777777" w:rsidTr="00522E6D">
        <w:tc>
          <w:tcPr>
            <w:tcW w:w="14029" w:type="dxa"/>
          </w:tcPr>
          <w:p w14:paraId="5CF56F58" w14:textId="00CBF2AF" w:rsidR="00F66CAB" w:rsidRPr="00D128EF" w:rsidRDefault="00F66CAB" w:rsidP="00F66CAB">
            <w:pPr>
              <w:ind w:firstLine="0"/>
              <w:jc w:val="left"/>
              <w:rPr>
                <w:rFonts w:ascii="Arial" w:hAnsi="Arial" w:cs="Arial"/>
                <w:bCs/>
                <w:spacing w:val="-2"/>
                <w:sz w:val="20"/>
                <w:szCs w:val="20"/>
              </w:rPr>
            </w:pPr>
            <w:r w:rsidRPr="008923A3">
              <w:rPr>
                <w:rFonts w:ascii="Arial" w:hAnsi="Arial" w:cs="Arial"/>
                <w:b/>
                <w:spacing w:val="-2"/>
                <w:sz w:val="20"/>
                <w:szCs w:val="20"/>
              </w:rPr>
              <w:t>Art. 422 § 2a.</w:t>
            </w:r>
            <w:r w:rsidRPr="00D128EF">
              <w:rPr>
                <w:rFonts w:ascii="Arial" w:hAnsi="Arial" w:cs="Arial"/>
                <w:bCs/>
                <w:spacing w:val="-2"/>
                <w:sz w:val="20"/>
                <w:szCs w:val="20"/>
              </w:rPr>
              <w:t xml:space="preserve"> Dla oskarżonego pozbawionego wolności, </w:t>
            </w:r>
            <w:r w:rsidRPr="00D128EF">
              <w:rPr>
                <w:rFonts w:ascii="Arial" w:hAnsi="Arial" w:cs="Arial"/>
                <w:bCs/>
                <w:strike/>
                <w:color w:val="FF0000"/>
                <w:spacing w:val="-2"/>
                <w:sz w:val="20"/>
                <w:szCs w:val="20"/>
              </w:rPr>
              <w:t>który nie ma obrońcy i - pomimo złożenia wniosku o doprowadzenie go na termin rozprawy, na którym ogłoszono wyrok - nie był obecny podczas ogłoszenia wyroku,</w:t>
            </w:r>
            <w:r w:rsidRPr="00D128EF">
              <w:rPr>
                <w:rFonts w:ascii="Arial" w:hAnsi="Arial" w:cs="Arial"/>
                <w:bCs/>
                <w:spacing w:val="-2"/>
                <w:sz w:val="20"/>
                <w:szCs w:val="20"/>
              </w:rPr>
              <w:t xml:space="preserve"> termin wymieniony w § 1 biegnie od daty doręczenia mu wyroku.</w:t>
            </w:r>
          </w:p>
        </w:tc>
      </w:tr>
      <w:tr w:rsidR="00B93182" w:rsidRPr="00D128EF" w14:paraId="33CB8B15" w14:textId="77777777" w:rsidTr="00522E6D">
        <w:tc>
          <w:tcPr>
            <w:tcW w:w="14029" w:type="dxa"/>
          </w:tcPr>
          <w:p w14:paraId="349ADAE0" w14:textId="04901819" w:rsidR="00B93182" w:rsidRPr="00D128EF" w:rsidRDefault="00F66CAB" w:rsidP="00F66CAB">
            <w:pPr>
              <w:ind w:firstLine="0"/>
              <w:jc w:val="left"/>
              <w:rPr>
                <w:rFonts w:ascii="Arial" w:hAnsi="Arial" w:cs="Arial"/>
                <w:bCs/>
                <w:spacing w:val="-2"/>
                <w:sz w:val="20"/>
                <w:szCs w:val="20"/>
              </w:rPr>
            </w:pPr>
            <w:r w:rsidRPr="00D128EF">
              <w:rPr>
                <w:rFonts w:ascii="Arial" w:hAnsi="Arial" w:cs="Arial"/>
                <w:bCs/>
                <w:color w:val="FF0000"/>
                <w:spacing w:val="-2"/>
                <w:sz w:val="20"/>
                <w:szCs w:val="20"/>
              </w:rPr>
              <w:lastRenderedPageBreak/>
              <w:t>Art. 427 § 3. W środku odwoławczym nie można podnosić zarzutu nieprzeprowadzenia dowodu z urzędu, chyba że okoliczność, która ma być udowodniona, ma istotne znaczenie dla ustalenia, czy został popełniony czyn zabroniony, czy stanowi on przestępstwo i jakie, czy czyn zabroniony został popełniony w warunkach, o których mowa w art. 64 lub art. 65 Kodeksu karnego, lub czy zachodzą warunki do orzeczenia pobytu w zakładzie psychiatrycznym na podstawie art. 93g Kodeksu karnego.</w:t>
            </w:r>
          </w:p>
        </w:tc>
      </w:tr>
      <w:tr w:rsidR="00F66CAB" w:rsidRPr="00D128EF" w14:paraId="36C6C5E3" w14:textId="77777777" w:rsidTr="00522E6D">
        <w:tc>
          <w:tcPr>
            <w:tcW w:w="14029" w:type="dxa"/>
          </w:tcPr>
          <w:p w14:paraId="42439C0F" w14:textId="237AF1ED" w:rsidR="00F66CAB" w:rsidRPr="00D128EF" w:rsidRDefault="00F66CAB" w:rsidP="00F66CAB">
            <w:pPr>
              <w:ind w:firstLine="0"/>
              <w:jc w:val="left"/>
              <w:rPr>
                <w:rFonts w:ascii="Arial" w:hAnsi="Arial" w:cs="Arial"/>
                <w:bCs/>
                <w:spacing w:val="-2"/>
                <w:sz w:val="20"/>
                <w:szCs w:val="20"/>
              </w:rPr>
            </w:pPr>
            <w:r w:rsidRPr="00D128EF">
              <w:rPr>
                <w:rFonts w:ascii="Arial" w:hAnsi="Arial" w:cs="Arial"/>
                <w:bCs/>
                <w:spacing w:val="-2"/>
                <w:sz w:val="20"/>
                <w:szCs w:val="20"/>
              </w:rPr>
              <w:t xml:space="preserve">Art. 426§ 2. Od postanowienia o zastosowaniu tymczasowego aresztowania wydanego na skutek zażalenia, </w:t>
            </w:r>
            <w:r w:rsidRPr="00D128EF">
              <w:rPr>
                <w:rFonts w:ascii="Arial" w:hAnsi="Arial" w:cs="Arial"/>
                <w:bCs/>
                <w:strike/>
                <w:color w:val="FF0000"/>
                <w:spacing w:val="-2"/>
                <w:sz w:val="20"/>
                <w:szCs w:val="20"/>
              </w:rPr>
              <w:t xml:space="preserve">w tym w zakresie zastrzeżenia, o którym mowa w art. 257 § 2, </w:t>
            </w:r>
            <w:r w:rsidRPr="00D128EF">
              <w:rPr>
                <w:rFonts w:ascii="Arial" w:hAnsi="Arial" w:cs="Arial"/>
                <w:bCs/>
                <w:spacing w:val="-2"/>
                <w:sz w:val="20"/>
                <w:szCs w:val="20"/>
              </w:rPr>
              <w:t>a także od wydanego w toku postępowania odwoławczego postanowienia o przeprowadzeniu obserwacji, zastosowaniu środka zapobiegawczego, nałożeniu kary porządkowej, zawieszeniu postępowania oraz w przedmiocie kosztów procesu, o których po raz pierwszy orzekał sąd odwoławczy, przysługuje zażalenie do innego równorzędnego składu sądu odwoławczego. Jeżeli zaskarżone postanowienie wydał sąd w składzie jednego sędziego, zażalenie rozpoznaje sąd odwoławczy w składzie trzech sędziów, chyba że zażalenie dotyczy postanowienia o nałożeniu kary porządkowej lub w przedmiocie kosztów procesu.</w:t>
            </w:r>
          </w:p>
        </w:tc>
      </w:tr>
      <w:tr w:rsidR="00F66CAB" w:rsidRPr="00D128EF" w14:paraId="3DA6937F" w14:textId="77777777" w:rsidTr="00522E6D">
        <w:tc>
          <w:tcPr>
            <w:tcW w:w="14029" w:type="dxa"/>
          </w:tcPr>
          <w:p w14:paraId="23CAFF08" w14:textId="37443314" w:rsidR="00F66CAB" w:rsidRPr="00D128EF" w:rsidRDefault="00F66CAB" w:rsidP="00F66CAB">
            <w:pPr>
              <w:ind w:firstLine="0"/>
              <w:jc w:val="left"/>
              <w:rPr>
                <w:rFonts w:ascii="Arial" w:hAnsi="Arial" w:cs="Arial"/>
                <w:bCs/>
                <w:spacing w:val="-2"/>
                <w:sz w:val="20"/>
                <w:szCs w:val="20"/>
              </w:rPr>
            </w:pPr>
            <w:r w:rsidRPr="008923A3">
              <w:rPr>
                <w:rFonts w:ascii="Arial" w:hAnsi="Arial" w:cs="Arial"/>
                <w:b/>
                <w:spacing w:val="-2"/>
                <w:sz w:val="20"/>
                <w:szCs w:val="20"/>
              </w:rPr>
              <w:t>Art. 439 § 1(…) pkt 2</w:t>
            </w:r>
            <w:r w:rsidRPr="00D128EF">
              <w:rPr>
                <w:rFonts w:ascii="Arial" w:hAnsi="Arial" w:cs="Arial"/>
                <w:bCs/>
                <w:spacing w:val="-2"/>
                <w:sz w:val="20"/>
                <w:szCs w:val="20"/>
              </w:rPr>
              <w:t xml:space="preserve">  sąd był nienależycie obsadzony lub którykolwiek z jego członków nie był obecny na całej rozprawie</w:t>
            </w:r>
            <w:r w:rsidRPr="00D128EF">
              <w:rPr>
                <w:rFonts w:ascii="Arial" w:hAnsi="Arial" w:cs="Arial"/>
                <w:bCs/>
                <w:strike/>
                <w:color w:val="FF0000"/>
                <w:spacing w:val="-2"/>
                <w:sz w:val="20"/>
                <w:szCs w:val="20"/>
              </w:rPr>
              <w:t>, z wyjątkiem wypadków, gdy wynika to z prowadzenia w dalszym ciągu na podstawie art. 402 § 2a lub art. 404 § 2a rozprawy przerwanej lub odroczonej;</w:t>
            </w:r>
          </w:p>
        </w:tc>
      </w:tr>
      <w:tr w:rsidR="00B93182" w:rsidRPr="00D128EF" w14:paraId="3DCDCAD1" w14:textId="77777777" w:rsidTr="00522E6D">
        <w:tc>
          <w:tcPr>
            <w:tcW w:w="14029" w:type="dxa"/>
          </w:tcPr>
          <w:p w14:paraId="129C38A4" w14:textId="7C4758F6" w:rsidR="00B93182" w:rsidRPr="00D128EF" w:rsidRDefault="00B93182" w:rsidP="00F66CAB">
            <w:pPr>
              <w:ind w:firstLine="0"/>
              <w:jc w:val="left"/>
              <w:rPr>
                <w:rFonts w:ascii="Arial" w:hAnsi="Arial" w:cs="Arial"/>
                <w:bCs/>
                <w:spacing w:val="-2"/>
                <w:sz w:val="20"/>
                <w:szCs w:val="20"/>
              </w:rPr>
            </w:pPr>
            <w:r w:rsidRPr="008923A3">
              <w:rPr>
                <w:rFonts w:ascii="Arial" w:hAnsi="Arial" w:cs="Arial"/>
                <w:b/>
                <w:spacing w:val="-2"/>
                <w:sz w:val="20"/>
                <w:szCs w:val="20"/>
              </w:rPr>
              <w:t>445.  §  1.</w:t>
            </w:r>
            <w:r w:rsidRPr="00D128EF">
              <w:rPr>
                <w:rFonts w:ascii="Arial" w:hAnsi="Arial" w:cs="Arial"/>
                <w:bCs/>
                <w:spacing w:val="-2"/>
                <w:sz w:val="20"/>
                <w:szCs w:val="20"/>
              </w:rPr>
              <w:t xml:space="preserve">  Termin do wniesienia apelacji wynosi 14 dni i biegnie dla każdego uprawnionego od daty doręczenia mu wyroku z uzasadnieniem.</w:t>
            </w:r>
          </w:p>
          <w:p w14:paraId="282FBA47" w14:textId="299C4E8E" w:rsidR="00F66CAB" w:rsidRPr="00D128EF" w:rsidRDefault="00F66CAB" w:rsidP="00F66CAB">
            <w:pPr>
              <w:ind w:firstLine="0"/>
              <w:jc w:val="left"/>
              <w:rPr>
                <w:rFonts w:ascii="Arial" w:hAnsi="Arial" w:cs="Arial"/>
                <w:b/>
                <w:spacing w:val="-2"/>
                <w:sz w:val="20"/>
                <w:szCs w:val="20"/>
              </w:rPr>
            </w:pPr>
            <w:r w:rsidRPr="00D128EF">
              <w:rPr>
                <w:rFonts w:ascii="Arial" w:hAnsi="Arial" w:cs="Arial"/>
                <w:b/>
                <w:color w:val="002060"/>
                <w:spacing w:val="-2"/>
                <w:sz w:val="20"/>
                <w:szCs w:val="20"/>
              </w:rPr>
              <w:t>§  1a.  W wypadku przedłużenia terminu do sporządzenia uzasadnienia wyroku, termin, o którym mowa w § 1, wynosi 30 dni.</w:t>
            </w:r>
          </w:p>
          <w:p w14:paraId="1445334D" w14:textId="0E084115" w:rsidR="00F66CAB" w:rsidRPr="00D128EF" w:rsidRDefault="00B93182" w:rsidP="00F66CAB">
            <w:pPr>
              <w:ind w:firstLine="0"/>
              <w:jc w:val="left"/>
              <w:rPr>
                <w:rFonts w:ascii="Arial" w:hAnsi="Arial" w:cs="Arial"/>
                <w:bCs/>
                <w:spacing w:val="-2"/>
                <w:sz w:val="20"/>
                <w:szCs w:val="20"/>
              </w:rPr>
            </w:pPr>
            <w:r w:rsidRPr="00D128EF">
              <w:rPr>
                <w:rFonts w:ascii="Arial" w:hAnsi="Arial" w:cs="Arial"/>
                <w:bCs/>
                <w:spacing w:val="-2"/>
                <w:sz w:val="20"/>
                <w:szCs w:val="20"/>
              </w:rPr>
              <w:t xml:space="preserve">§  2. </w:t>
            </w:r>
            <w:r w:rsidRPr="00D128EF">
              <w:rPr>
                <w:rFonts w:ascii="Arial" w:hAnsi="Arial" w:cs="Arial"/>
                <w:bCs/>
                <w:spacing w:val="-2"/>
                <w:sz w:val="20"/>
                <w:szCs w:val="20"/>
              </w:rPr>
              <w:tab/>
              <w:t>Apelacja wniesiona przed upływem terminu złożenia wniosku o sporządzenie uzasadnienia wywołuje skutki określone w art. 422 i podlega rozpoznaniu; apelację taką można uzupełnić w terminie określonym w § 1</w:t>
            </w:r>
            <w:r w:rsidR="00F66CAB" w:rsidRPr="00D128EF">
              <w:rPr>
                <w:rFonts w:ascii="Arial" w:hAnsi="Arial" w:cs="Arial"/>
                <w:bCs/>
                <w:spacing w:val="-2"/>
                <w:sz w:val="20"/>
                <w:szCs w:val="20"/>
              </w:rPr>
              <w:t xml:space="preserve"> lub </w:t>
            </w:r>
            <w:r w:rsidR="00F66CAB" w:rsidRPr="00D128EF">
              <w:rPr>
                <w:rFonts w:ascii="Arial" w:hAnsi="Arial" w:cs="Arial"/>
                <w:b/>
                <w:color w:val="002060"/>
                <w:spacing w:val="-2"/>
                <w:sz w:val="20"/>
                <w:szCs w:val="20"/>
              </w:rPr>
              <w:t>§ 1a</w:t>
            </w:r>
            <w:r w:rsidRPr="00D128EF">
              <w:rPr>
                <w:rFonts w:ascii="Arial" w:hAnsi="Arial" w:cs="Arial"/>
                <w:b/>
                <w:color w:val="002060"/>
                <w:spacing w:val="-2"/>
                <w:sz w:val="20"/>
                <w:szCs w:val="20"/>
              </w:rPr>
              <w:t>.</w:t>
            </w:r>
          </w:p>
        </w:tc>
      </w:tr>
      <w:tr w:rsidR="00B93182" w:rsidRPr="00D128EF" w14:paraId="2765B7AE" w14:textId="77777777" w:rsidTr="00522E6D">
        <w:tc>
          <w:tcPr>
            <w:tcW w:w="14029" w:type="dxa"/>
          </w:tcPr>
          <w:p w14:paraId="6472E91C" w14:textId="71CCE6F5" w:rsidR="00B93182" w:rsidRPr="00D128EF" w:rsidRDefault="00B93182" w:rsidP="00F66CAB">
            <w:pPr>
              <w:ind w:firstLine="0"/>
              <w:jc w:val="left"/>
              <w:rPr>
                <w:rFonts w:ascii="Arial" w:hAnsi="Arial" w:cs="Arial"/>
                <w:bCs/>
                <w:strike/>
                <w:spacing w:val="-2"/>
                <w:sz w:val="20"/>
                <w:szCs w:val="20"/>
              </w:rPr>
            </w:pPr>
            <w:r w:rsidRPr="00D128EF">
              <w:rPr>
                <w:rFonts w:ascii="Arial" w:hAnsi="Arial" w:cs="Arial"/>
                <w:bCs/>
                <w:strike/>
                <w:color w:val="FF0000"/>
                <w:spacing w:val="-2"/>
                <w:sz w:val="20"/>
                <w:szCs w:val="20"/>
              </w:rPr>
              <w:t>Art. 448 § 1a. W przypadku apelacji od wyroku częściowego sądowi odwoławczemu zamiast akt sprawy przekazuje się uwierzytelnione kopie dokumentów z akt sprawy, a w razie niezbędnej potrzeby na jego żądanie udostępnia się akta sprawy na czas oznaczony. Przekazanie dokumentów lub udostępnienie akt sprawy może nastąpić w postaci elektronicznej.</w:t>
            </w:r>
          </w:p>
        </w:tc>
      </w:tr>
      <w:tr w:rsidR="00B93182" w:rsidRPr="00D128EF" w14:paraId="69AAC925" w14:textId="77777777" w:rsidTr="00522E6D">
        <w:tc>
          <w:tcPr>
            <w:tcW w:w="14029" w:type="dxa"/>
          </w:tcPr>
          <w:p w14:paraId="5A784819" w14:textId="26DBBD0E" w:rsidR="00B93182" w:rsidRPr="00D128EF" w:rsidRDefault="00B93182" w:rsidP="00F66CAB">
            <w:pPr>
              <w:ind w:firstLine="0"/>
              <w:jc w:val="left"/>
              <w:rPr>
                <w:rFonts w:ascii="Arial" w:hAnsi="Arial" w:cs="Arial"/>
                <w:bCs/>
                <w:strike/>
                <w:spacing w:val="-2"/>
                <w:sz w:val="20"/>
                <w:szCs w:val="20"/>
              </w:rPr>
            </w:pPr>
            <w:r w:rsidRPr="00D128EF">
              <w:rPr>
                <w:rFonts w:ascii="Arial" w:hAnsi="Arial" w:cs="Arial"/>
                <w:b/>
                <w:spacing w:val="-2"/>
                <w:sz w:val="20"/>
                <w:szCs w:val="20"/>
              </w:rPr>
              <w:t xml:space="preserve">Art. </w:t>
            </w:r>
            <w:r w:rsidRPr="008923A3">
              <w:rPr>
                <w:rFonts w:ascii="Arial" w:hAnsi="Arial" w:cs="Arial"/>
                <w:bCs/>
                <w:spacing w:val="-2"/>
                <w:sz w:val="20"/>
                <w:szCs w:val="20"/>
              </w:rPr>
              <w:t xml:space="preserve">454 §  2. </w:t>
            </w:r>
            <w:r w:rsidRPr="008923A3">
              <w:rPr>
                <w:rFonts w:ascii="Arial" w:hAnsi="Arial" w:cs="Arial"/>
                <w:bCs/>
                <w:spacing w:val="-2"/>
                <w:sz w:val="20"/>
                <w:szCs w:val="20"/>
              </w:rPr>
              <w:tab/>
            </w:r>
            <w:r w:rsidRPr="00D128EF">
              <w:rPr>
                <w:rFonts w:ascii="Arial" w:hAnsi="Arial" w:cs="Arial"/>
                <w:bCs/>
                <w:spacing w:val="-2"/>
                <w:sz w:val="20"/>
                <w:szCs w:val="20"/>
              </w:rPr>
              <w:t xml:space="preserve">Sąd odwoławczy oddala wniosek dowodowy </w:t>
            </w:r>
            <w:r w:rsidRPr="00D128EF">
              <w:rPr>
                <w:rFonts w:ascii="Arial" w:hAnsi="Arial" w:cs="Arial"/>
                <w:bCs/>
                <w:strike/>
                <w:color w:val="FF0000"/>
                <w:spacing w:val="-2"/>
                <w:sz w:val="20"/>
                <w:szCs w:val="20"/>
              </w:rPr>
              <w:t>również</w:t>
            </w:r>
            <w:r w:rsidRPr="00D128EF">
              <w:rPr>
                <w:rFonts w:ascii="Arial" w:hAnsi="Arial" w:cs="Arial"/>
                <w:bCs/>
                <w:spacing w:val="-2"/>
                <w:sz w:val="20"/>
                <w:szCs w:val="20"/>
              </w:rPr>
              <w:t>, jeżeli</w:t>
            </w:r>
            <w:r w:rsidRPr="00D128EF">
              <w:rPr>
                <w:rFonts w:ascii="Arial" w:hAnsi="Arial" w:cs="Arial"/>
                <w:bCs/>
                <w:strike/>
                <w:spacing w:val="-2"/>
                <w:sz w:val="20"/>
                <w:szCs w:val="20"/>
              </w:rPr>
              <w:t>:</w:t>
            </w:r>
          </w:p>
          <w:p w14:paraId="5372CFFB" w14:textId="77777777" w:rsidR="00B93182" w:rsidRPr="00D128EF" w:rsidRDefault="00B93182" w:rsidP="00F66CAB">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1)</w:t>
            </w:r>
            <w:r w:rsidRPr="00D128EF">
              <w:rPr>
                <w:rFonts w:ascii="Arial" w:hAnsi="Arial" w:cs="Arial"/>
                <w:bCs/>
                <w:strike/>
                <w:color w:val="FF0000"/>
                <w:spacing w:val="-2"/>
                <w:sz w:val="20"/>
                <w:szCs w:val="20"/>
              </w:rPr>
              <w:tab/>
              <w:t>przeprowadzenie dowodu przez ten sąd byłoby niecelowe z przyczyn określonych w art. 437 § 2 zdanie drugie;</w:t>
            </w:r>
          </w:p>
          <w:p w14:paraId="76A1B569" w14:textId="77777777" w:rsidR="00B93182" w:rsidRPr="00D128EF" w:rsidRDefault="00B93182" w:rsidP="00F66CAB">
            <w:pPr>
              <w:ind w:firstLine="0"/>
              <w:jc w:val="left"/>
              <w:rPr>
                <w:rFonts w:ascii="Arial" w:hAnsi="Arial" w:cs="Arial"/>
                <w:bCs/>
                <w:strike/>
                <w:color w:val="FF0000"/>
                <w:spacing w:val="-2"/>
                <w:sz w:val="20"/>
                <w:szCs w:val="20"/>
              </w:rPr>
            </w:pPr>
            <w:r w:rsidRPr="00D128EF">
              <w:rPr>
                <w:rFonts w:ascii="Arial" w:hAnsi="Arial" w:cs="Arial"/>
                <w:bCs/>
                <w:strike/>
                <w:color w:val="FF0000"/>
                <w:spacing w:val="-2"/>
                <w:sz w:val="20"/>
                <w:szCs w:val="20"/>
              </w:rPr>
              <w:t>2)</w:t>
            </w:r>
            <w:r w:rsidRPr="00D128EF">
              <w:rPr>
                <w:rFonts w:ascii="Arial" w:hAnsi="Arial" w:cs="Arial"/>
                <w:bCs/>
                <w:strike/>
                <w:color w:val="FF0000"/>
                <w:spacing w:val="-2"/>
                <w:sz w:val="20"/>
                <w:szCs w:val="20"/>
              </w:rPr>
              <w:tab/>
              <w:t>dowód nie był powołany przed sądem pierwszej instancji, pomimo że składający wniosek mógł go wówczas powołać, lub okoliczność, która ma być udowodniona, dotyczy nowego faktu, niebędącego przedmiotem postępowania przed sądem pierwszej instancji, a składający wniosek mógł go wówczas wskazać.</w:t>
            </w:r>
          </w:p>
          <w:p w14:paraId="372849F8" w14:textId="34B96632" w:rsidR="00B93182" w:rsidRPr="00D128EF" w:rsidRDefault="00B93182" w:rsidP="00F66CAB">
            <w:pPr>
              <w:ind w:firstLine="0"/>
              <w:jc w:val="left"/>
              <w:rPr>
                <w:rFonts w:ascii="Arial" w:hAnsi="Arial" w:cs="Arial"/>
                <w:b/>
                <w:strike/>
                <w:spacing w:val="-2"/>
                <w:sz w:val="20"/>
                <w:szCs w:val="20"/>
              </w:rPr>
            </w:pPr>
            <w:r w:rsidRPr="00D128EF">
              <w:rPr>
                <w:rFonts w:ascii="Arial" w:hAnsi="Arial" w:cs="Arial"/>
                <w:bCs/>
                <w:strike/>
                <w:color w:val="FF0000"/>
                <w:spacing w:val="-2"/>
                <w:sz w:val="20"/>
                <w:szCs w:val="20"/>
              </w:rPr>
              <w:t xml:space="preserve">§  3. </w:t>
            </w:r>
            <w:r w:rsidRPr="00D128EF">
              <w:rPr>
                <w:rFonts w:ascii="Arial" w:hAnsi="Arial" w:cs="Arial"/>
                <w:bCs/>
                <w:strike/>
                <w:color w:val="FF0000"/>
                <w:spacing w:val="-2"/>
                <w:sz w:val="20"/>
                <w:szCs w:val="20"/>
              </w:rPr>
              <w:tab/>
              <w:t>Wniosku dowodowego nie można oddalić na podstawie § 2 pkt 2, jeżeli okoliczność, która ma być udowodniona, w granicach rozpoznania sprawy przez sąd odwoławczy, ma istotne znaczenie dla ustalenia, czy został popełniony czyn zabroniony, czy stanowi on przestępstwo i jakie, czy czyn zabroniony został popełniony w warunkach, o których mowa w art. 64 lub art. 65 Kodeksu karnego, lub czy zachodzą warunki do orzeczenia pobytu w zakładzie psychiatrycznym na podstawie art. 93g Kodeksu karnego.</w:t>
            </w:r>
          </w:p>
        </w:tc>
      </w:tr>
      <w:tr w:rsidR="00B93182" w:rsidRPr="00D128EF" w14:paraId="5627513A" w14:textId="77777777" w:rsidTr="00522E6D">
        <w:tc>
          <w:tcPr>
            <w:tcW w:w="14029" w:type="dxa"/>
          </w:tcPr>
          <w:p w14:paraId="310CB867" w14:textId="35A57419"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Art. 454 § 1.</w:t>
            </w:r>
            <w:r w:rsidRPr="00D128EF">
              <w:rPr>
                <w:rFonts w:ascii="Arial" w:hAnsi="Arial" w:cs="Arial"/>
                <w:bCs/>
                <w:spacing w:val="-2"/>
                <w:sz w:val="20"/>
                <w:szCs w:val="20"/>
              </w:rPr>
              <w:t xml:space="preserve"> Sąd odwoławczy nie może skazać oskarżonego, który został uniewinniony w pierwszej instancji lub co do którego w pierwszej instancji umorzono </w:t>
            </w:r>
            <w:r w:rsidRPr="00D128EF">
              <w:rPr>
                <w:rFonts w:ascii="Arial" w:hAnsi="Arial" w:cs="Arial"/>
                <w:b/>
                <w:color w:val="002060"/>
                <w:spacing w:val="-2"/>
                <w:sz w:val="20"/>
                <w:szCs w:val="20"/>
              </w:rPr>
              <w:t xml:space="preserve">lub warunkowo umorzono </w:t>
            </w:r>
            <w:r w:rsidRPr="00D128EF">
              <w:rPr>
                <w:rFonts w:ascii="Arial" w:hAnsi="Arial" w:cs="Arial"/>
                <w:bCs/>
                <w:spacing w:val="-2"/>
                <w:sz w:val="20"/>
                <w:szCs w:val="20"/>
              </w:rPr>
              <w:t>postępowanie.</w:t>
            </w:r>
          </w:p>
        </w:tc>
      </w:tr>
      <w:tr w:rsidR="00B93182" w:rsidRPr="00D128EF" w14:paraId="2CE95AE5" w14:textId="77777777" w:rsidTr="00522E6D">
        <w:tc>
          <w:tcPr>
            <w:tcW w:w="14029" w:type="dxa"/>
          </w:tcPr>
          <w:p w14:paraId="3CA84970" w14:textId="48EB4898" w:rsidR="00B93182" w:rsidRPr="00D128EF" w:rsidRDefault="00B93182" w:rsidP="00F66CAB">
            <w:pPr>
              <w:ind w:firstLine="0"/>
              <w:jc w:val="left"/>
              <w:rPr>
                <w:rFonts w:ascii="Arial" w:hAnsi="Arial" w:cs="Arial"/>
                <w:bCs/>
                <w:color w:val="002060"/>
                <w:spacing w:val="-2"/>
                <w:sz w:val="20"/>
                <w:szCs w:val="20"/>
              </w:rPr>
            </w:pPr>
            <w:r w:rsidRPr="008923A3">
              <w:rPr>
                <w:rFonts w:ascii="Arial" w:hAnsi="Arial" w:cs="Arial"/>
                <w:bCs/>
                <w:color w:val="002060"/>
                <w:spacing w:val="-2"/>
                <w:sz w:val="20"/>
                <w:szCs w:val="20"/>
              </w:rPr>
              <w:t>Art. 454 § 1a.</w:t>
            </w:r>
            <w:r w:rsidRPr="00D128EF">
              <w:rPr>
                <w:rFonts w:ascii="Arial" w:hAnsi="Arial" w:cs="Arial"/>
                <w:bCs/>
                <w:color w:val="002060"/>
                <w:spacing w:val="-2"/>
                <w:sz w:val="20"/>
                <w:szCs w:val="20"/>
              </w:rPr>
              <w:t xml:space="preserve"> Sąd odwoławczy nie może zaostrzyć kary przez wymierzenie kary dożywotniego pozbawienia wolności.</w:t>
            </w:r>
          </w:p>
        </w:tc>
      </w:tr>
      <w:tr w:rsidR="00B93182" w:rsidRPr="00D128EF" w14:paraId="71B6739E" w14:textId="77777777" w:rsidTr="00522E6D">
        <w:tc>
          <w:tcPr>
            <w:tcW w:w="14029" w:type="dxa"/>
          </w:tcPr>
          <w:p w14:paraId="6BB9C5D9" w14:textId="41C735BF"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457 § 2. </w:t>
            </w:r>
            <w:r w:rsidRPr="00D128EF">
              <w:rPr>
                <w:rFonts w:ascii="Arial" w:hAnsi="Arial" w:cs="Arial"/>
                <w:bCs/>
                <w:spacing w:val="-2"/>
                <w:sz w:val="20"/>
                <w:szCs w:val="20"/>
              </w:rPr>
              <w:t xml:space="preserve">Jeżeli sąd zmienia lub utrzymuje zaskarżony wyrok w mocy, uzasadnienie sporządza się na wniosek strony, </w:t>
            </w:r>
            <w:r w:rsidRPr="00D128EF">
              <w:rPr>
                <w:rFonts w:ascii="Arial" w:hAnsi="Arial" w:cs="Arial"/>
                <w:bCs/>
                <w:color w:val="002060"/>
                <w:spacing w:val="-2"/>
                <w:sz w:val="20"/>
                <w:szCs w:val="20"/>
              </w:rPr>
              <w:t>chyba, że zostało złożone zdanie odrębne</w:t>
            </w:r>
            <w:r w:rsidRPr="00D128EF">
              <w:rPr>
                <w:rFonts w:ascii="Arial" w:hAnsi="Arial" w:cs="Arial"/>
                <w:bCs/>
                <w:spacing w:val="-2"/>
                <w:sz w:val="20"/>
                <w:szCs w:val="20"/>
              </w:rPr>
              <w:t>. Przepisy art. 422 i art. 423 stosuje się odpowiednio.</w:t>
            </w:r>
          </w:p>
        </w:tc>
      </w:tr>
      <w:tr w:rsidR="00B93182" w:rsidRPr="00D128EF" w14:paraId="7202448C" w14:textId="77777777" w:rsidTr="00522E6D">
        <w:tc>
          <w:tcPr>
            <w:tcW w:w="14029" w:type="dxa"/>
          </w:tcPr>
          <w:p w14:paraId="1DBAE3C6" w14:textId="4348815C" w:rsidR="00B93182" w:rsidRPr="00D128EF" w:rsidRDefault="00B93182" w:rsidP="00F66CAB">
            <w:pPr>
              <w:ind w:firstLine="0"/>
              <w:jc w:val="left"/>
              <w:rPr>
                <w:rFonts w:ascii="Arial" w:hAnsi="Arial" w:cs="Arial"/>
                <w:b/>
                <w:strike/>
                <w:spacing w:val="-2"/>
                <w:sz w:val="20"/>
                <w:szCs w:val="20"/>
              </w:rPr>
            </w:pPr>
            <w:r w:rsidRPr="00D128EF">
              <w:rPr>
                <w:rFonts w:ascii="Arial" w:hAnsi="Arial" w:cs="Arial"/>
                <w:b/>
                <w:strike/>
                <w:color w:val="FF0000"/>
                <w:spacing w:val="-2"/>
                <w:sz w:val="20"/>
                <w:szCs w:val="20"/>
              </w:rPr>
              <w:t xml:space="preserve">523 § 1a. </w:t>
            </w:r>
            <w:r w:rsidRPr="00D128EF">
              <w:rPr>
                <w:rFonts w:ascii="Arial" w:hAnsi="Arial" w:cs="Arial"/>
                <w:bCs/>
                <w:strike/>
                <w:color w:val="FF0000"/>
                <w:spacing w:val="-2"/>
                <w:sz w:val="20"/>
                <w:szCs w:val="20"/>
              </w:rPr>
              <w:t>Ograniczenia, o którym mowa w § 1 zdanie drugie, nie stosuje się do kasacji wniesionej przez Prokuratora Generalnego w sprawach o zbrodnie.</w:t>
            </w:r>
          </w:p>
        </w:tc>
      </w:tr>
      <w:tr w:rsidR="00B93182" w:rsidRPr="00D128EF" w14:paraId="0DA24483" w14:textId="77777777" w:rsidTr="00522E6D">
        <w:tc>
          <w:tcPr>
            <w:tcW w:w="14029" w:type="dxa"/>
          </w:tcPr>
          <w:p w14:paraId="475BACFD" w14:textId="2767D2C7"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517c § 1. </w:t>
            </w:r>
            <w:r w:rsidRPr="00D128EF">
              <w:rPr>
                <w:rFonts w:ascii="Arial" w:hAnsi="Arial" w:cs="Arial"/>
                <w:bCs/>
                <w:spacing w:val="-2"/>
                <w:sz w:val="20"/>
                <w:szCs w:val="20"/>
              </w:rPr>
              <w:t xml:space="preserve">Dochodzenie można ograniczyć do przesłuchania </w:t>
            </w:r>
            <w:r w:rsidRPr="00D128EF">
              <w:rPr>
                <w:rFonts w:ascii="Arial" w:hAnsi="Arial" w:cs="Arial"/>
                <w:bCs/>
                <w:strike/>
                <w:color w:val="FF0000"/>
                <w:spacing w:val="-2"/>
                <w:sz w:val="20"/>
                <w:szCs w:val="20"/>
              </w:rPr>
              <w:t xml:space="preserve">osoby podejrzanej w charakterze </w:t>
            </w:r>
            <w:r w:rsidRPr="00093A51">
              <w:rPr>
                <w:rFonts w:ascii="Arial" w:hAnsi="Arial" w:cs="Arial"/>
                <w:bCs/>
                <w:color w:val="002060"/>
                <w:spacing w:val="-2"/>
                <w:sz w:val="20"/>
                <w:szCs w:val="20"/>
              </w:rPr>
              <w:t xml:space="preserve">podejrzanego  </w:t>
            </w:r>
            <w:r w:rsidRPr="00D128EF">
              <w:rPr>
                <w:rFonts w:ascii="Arial" w:hAnsi="Arial" w:cs="Arial"/>
                <w:bCs/>
                <w:spacing w:val="-2"/>
                <w:sz w:val="20"/>
                <w:szCs w:val="20"/>
              </w:rPr>
              <w:t>oraz zabezpieczenia dowodów w niezbędnym zakresie. W toku dochodzenia czynności procesowych określonych w art. 303 i 321 można nie dokonywać.</w:t>
            </w:r>
          </w:p>
        </w:tc>
      </w:tr>
      <w:tr w:rsidR="00B93182" w:rsidRPr="00D128EF" w14:paraId="3C1B156D" w14:textId="77777777" w:rsidTr="00522E6D">
        <w:tc>
          <w:tcPr>
            <w:tcW w:w="14029" w:type="dxa"/>
          </w:tcPr>
          <w:p w14:paraId="0DABA70C" w14:textId="080606BA" w:rsidR="00B93182" w:rsidRPr="00D128EF" w:rsidRDefault="00B93182" w:rsidP="00F66CAB">
            <w:pPr>
              <w:ind w:firstLine="0"/>
              <w:jc w:val="left"/>
              <w:rPr>
                <w:rFonts w:ascii="Arial" w:hAnsi="Arial" w:cs="Arial"/>
                <w:strike/>
                <w:color w:val="FF0000"/>
                <w:spacing w:val="-2"/>
                <w:sz w:val="20"/>
                <w:szCs w:val="20"/>
              </w:rPr>
            </w:pPr>
            <w:r w:rsidRPr="00D128EF">
              <w:rPr>
                <w:rFonts w:ascii="Arial" w:hAnsi="Arial" w:cs="Arial"/>
                <w:b/>
                <w:bCs/>
                <w:sz w:val="20"/>
                <w:szCs w:val="20"/>
              </w:rPr>
              <w:t>Art. 517j § 1.</w:t>
            </w:r>
            <w:r w:rsidRPr="00D128EF">
              <w:rPr>
                <w:rFonts w:ascii="Arial" w:hAnsi="Arial" w:cs="Arial"/>
                <w:strike/>
                <w:sz w:val="20"/>
                <w:szCs w:val="20"/>
              </w:rPr>
              <w:t xml:space="preserve"> </w:t>
            </w:r>
            <w:r w:rsidRPr="00D128EF">
              <w:rPr>
                <w:rFonts w:ascii="Arial" w:hAnsi="Arial" w:cs="Arial"/>
                <w:strike/>
                <w:color w:val="FF0000"/>
                <w:spacing w:val="-2"/>
                <w:sz w:val="20"/>
                <w:szCs w:val="20"/>
              </w:rPr>
              <w:t>W celu umożliwienia oskarżonemu korzystania z pomocy obrońcy w postępowaniu przyspieszonym ustanawia się obowiązek pełnienia przez adwokatów i radców prawnych dyżurów w czasie i miejscu ustalonym w odrębnych przepisach.</w:t>
            </w:r>
            <w:r w:rsidRPr="00D128EF">
              <w:rPr>
                <w:rFonts w:ascii="Arial" w:hAnsi="Arial" w:cs="Arial"/>
                <w:b/>
                <w:bCs/>
                <w:sz w:val="20"/>
                <w:szCs w:val="20"/>
              </w:rPr>
              <w:t xml:space="preserve"> </w:t>
            </w:r>
            <w:r w:rsidRPr="00D128EF">
              <w:rPr>
                <w:rFonts w:ascii="Arial" w:hAnsi="Arial" w:cs="Arial"/>
                <w:color w:val="002060"/>
                <w:sz w:val="20"/>
                <w:szCs w:val="20"/>
              </w:rPr>
              <w:t xml:space="preserve"> W postępowaniu przyspieszonym przepisy wydane na podstawie art. 245 § 5 stosuje się odpowiednio.</w:t>
            </w:r>
          </w:p>
          <w:p w14:paraId="688AA204" w14:textId="34BEE4AE" w:rsidR="00B93182" w:rsidRPr="00D128EF" w:rsidRDefault="00B93182" w:rsidP="00F66CAB">
            <w:pPr>
              <w:ind w:firstLine="0"/>
              <w:jc w:val="left"/>
              <w:rPr>
                <w:rFonts w:ascii="Arial" w:hAnsi="Arial" w:cs="Arial"/>
                <w:b/>
                <w:spacing w:val="-2"/>
                <w:sz w:val="20"/>
                <w:szCs w:val="20"/>
              </w:rPr>
            </w:pPr>
            <w:r w:rsidRPr="00D128EF">
              <w:rPr>
                <w:rFonts w:ascii="Arial" w:hAnsi="Arial" w:cs="Arial"/>
                <w:strike/>
                <w:color w:val="FF0000"/>
                <w:spacing w:val="-2"/>
                <w:sz w:val="20"/>
                <w:szCs w:val="20"/>
              </w:rPr>
              <w:t>§  2.  Minister Sprawiedliwości określi, w drodze rozporządzenia, sposób zapewnienia oskarżonemu korzystania z pomocy obrońcy i możliwości jego wyboru w postępowaniu przyspieszonym, w tym organizacji dyżurów, o których mowa w § 1, mając na uwadze prawidłowy przebieg postępowania przyspieszonego oraz konieczność zapewnienia oskarżonemu możliwości wyboru obrońcy.</w:t>
            </w:r>
          </w:p>
        </w:tc>
      </w:tr>
      <w:tr w:rsidR="00B93182" w:rsidRPr="00D128EF" w14:paraId="2455D352" w14:textId="77777777" w:rsidTr="00522E6D">
        <w:tc>
          <w:tcPr>
            <w:tcW w:w="14029" w:type="dxa"/>
          </w:tcPr>
          <w:p w14:paraId="193C0D2B" w14:textId="37CCEC96" w:rsidR="00B93182" w:rsidRPr="00D128EF" w:rsidRDefault="00B93182" w:rsidP="00F66CAB">
            <w:pPr>
              <w:ind w:firstLine="0"/>
              <w:jc w:val="left"/>
              <w:rPr>
                <w:rFonts w:ascii="Arial" w:hAnsi="Arial" w:cs="Arial"/>
                <w:b/>
                <w:spacing w:val="-2"/>
                <w:sz w:val="20"/>
                <w:szCs w:val="20"/>
              </w:rPr>
            </w:pPr>
            <w:r w:rsidRPr="00D128EF">
              <w:rPr>
                <w:rFonts w:ascii="Arial" w:hAnsi="Arial" w:cs="Arial"/>
                <w:b/>
                <w:bCs/>
                <w:sz w:val="20"/>
                <w:szCs w:val="20"/>
              </w:rPr>
              <w:lastRenderedPageBreak/>
              <w:t>555.</w:t>
            </w:r>
            <w:r w:rsidRPr="00D128EF">
              <w:rPr>
                <w:rFonts w:ascii="Arial" w:hAnsi="Arial" w:cs="Arial"/>
                <w:sz w:val="20"/>
                <w:szCs w:val="20"/>
              </w:rPr>
              <w:t xml:space="preserve"> Roszczenia przewidziane w niniejszym rozdziale przedawniają się po upływie </w:t>
            </w:r>
            <w:r w:rsidRPr="00D128EF">
              <w:rPr>
                <w:rFonts w:ascii="Arial" w:hAnsi="Arial" w:cs="Arial"/>
                <w:strike/>
                <w:color w:val="FF0000"/>
                <w:sz w:val="20"/>
                <w:szCs w:val="20"/>
              </w:rPr>
              <w:t>roku</w:t>
            </w:r>
            <w:r w:rsidRPr="00D128EF">
              <w:rPr>
                <w:rFonts w:ascii="Arial" w:hAnsi="Arial" w:cs="Arial"/>
                <w:color w:val="FF0000"/>
                <w:sz w:val="20"/>
                <w:szCs w:val="20"/>
              </w:rPr>
              <w:t xml:space="preserve"> </w:t>
            </w:r>
            <w:r w:rsidRPr="00D128EF">
              <w:rPr>
                <w:rFonts w:ascii="Arial" w:hAnsi="Arial" w:cs="Arial"/>
                <w:color w:val="002060"/>
                <w:sz w:val="20"/>
                <w:szCs w:val="20"/>
              </w:rPr>
              <w:t xml:space="preserve">3 lat </w:t>
            </w:r>
            <w:r w:rsidRPr="00D128EF">
              <w:rPr>
                <w:rFonts w:ascii="Arial" w:hAnsi="Arial" w:cs="Arial"/>
                <w:sz w:val="20"/>
                <w:szCs w:val="20"/>
              </w:rPr>
              <w:t>od daty uprawomocnienia się orzeczenia dającego podstawę do odszkodowania i zadośćuczynienia, w wypadku tymczasowego aresztowania - od daty uprawomocnienia się orzeczenia kończącego postępowanie w sprawie, w razie zaś zatrzymania - od daty zwolnienia.</w:t>
            </w:r>
          </w:p>
        </w:tc>
      </w:tr>
      <w:tr w:rsidR="00B93182" w:rsidRPr="00D128EF" w14:paraId="0E08E452" w14:textId="77777777" w:rsidTr="00522E6D">
        <w:tc>
          <w:tcPr>
            <w:tcW w:w="14029" w:type="dxa"/>
            <w:vAlign w:val="center"/>
          </w:tcPr>
          <w:p w14:paraId="28C51AA9" w14:textId="62E28D33" w:rsidR="00B93182" w:rsidRPr="00D128EF" w:rsidRDefault="00B93182" w:rsidP="00F66CAB">
            <w:pPr>
              <w:ind w:firstLine="0"/>
              <w:jc w:val="left"/>
              <w:rPr>
                <w:rFonts w:ascii="Arial" w:hAnsi="Arial" w:cs="Arial"/>
                <w:b/>
                <w:color w:val="002060"/>
                <w:spacing w:val="-2"/>
                <w:sz w:val="20"/>
                <w:szCs w:val="20"/>
              </w:rPr>
            </w:pPr>
            <w:r w:rsidRPr="00D128EF">
              <w:rPr>
                <w:rFonts w:ascii="Arial" w:hAnsi="Arial" w:cs="Arial"/>
                <w:b/>
                <w:color w:val="002060"/>
                <w:spacing w:val="-2"/>
                <w:sz w:val="20"/>
                <w:szCs w:val="20"/>
              </w:rPr>
              <w:t xml:space="preserve">Art. 607 § 3b. </w:t>
            </w:r>
            <w:r w:rsidRPr="00D128EF">
              <w:rPr>
                <w:rFonts w:ascii="Arial" w:hAnsi="Arial" w:cs="Arial"/>
                <w:bCs/>
                <w:color w:val="002060"/>
                <w:spacing w:val="-2"/>
                <w:sz w:val="20"/>
                <w:szCs w:val="20"/>
              </w:rPr>
              <w:t>Do osoby ściganej przepisu art. 301 § 8 nie stosuje się.</w:t>
            </w:r>
          </w:p>
        </w:tc>
      </w:tr>
      <w:tr w:rsidR="00B93182" w:rsidRPr="00D128EF" w14:paraId="47C5C0B4" w14:textId="77777777" w:rsidTr="00522E6D">
        <w:tc>
          <w:tcPr>
            <w:tcW w:w="14029" w:type="dxa"/>
            <w:vAlign w:val="center"/>
          </w:tcPr>
          <w:p w14:paraId="284FCE4C" w14:textId="77777777" w:rsidR="00B93182" w:rsidRPr="00D128EF" w:rsidRDefault="00B93182" w:rsidP="00F66CAB">
            <w:pPr>
              <w:ind w:firstLine="0"/>
              <w:jc w:val="left"/>
              <w:rPr>
                <w:rFonts w:ascii="Arial" w:hAnsi="Arial" w:cs="Arial"/>
                <w:bCs/>
                <w:color w:val="002060"/>
                <w:spacing w:val="-2"/>
                <w:sz w:val="20"/>
                <w:szCs w:val="20"/>
              </w:rPr>
            </w:pPr>
            <w:r w:rsidRPr="00D128EF">
              <w:rPr>
                <w:rFonts w:ascii="Arial" w:hAnsi="Arial" w:cs="Arial"/>
                <w:b/>
                <w:color w:val="002060"/>
                <w:spacing w:val="-2"/>
                <w:sz w:val="20"/>
                <w:szCs w:val="20"/>
              </w:rPr>
              <w:t>Art. 607da. § 1.</w:t>
            </w:r>
            <w:r w:rsidRPr="00D128EF">
              <w:rPr>
                <w:rFonts w:ascii="Arial" w:hAnsi="Arial" w:cs="Arial"/>
                <w:bCs/>
                <w:color w:val="002060"/>
                <w:spacing w:val="-2"/>
                <w:sz w:val="20"/>
                <w:szCs w:val="20"/>
              </w:rPr>
              <w:t xml:space="preserve"> W przypadku przekazania przez właściwy organ państwa wykonania nakazu informacji, że osoba ścigana wyraziła wolę skorzystania z prawa do ustanowienia obrońcy w postępowaniu karnym, w którym został wydany nakaz, sąd, a w postępowaniu przygotowawczym prokurator, niezwłocznie przekazuje temu organowi listę obrońców oraz informację o dostępnych sposobach nawiązania kontaktu z obrońcą.</w:t>
            </w:r>
          </w:p>
          <w:p w14:paraId="2809BFC0" w14:textId="18A9FB40" w:rsidR="00B93182" w:rsidRPr="00D128EF" w:rsidRDefault="00B93182" w:rsidP="00F66CAB">
            <w:pPr>
              <w:ind w:firstLine="0"/>
              <w:jc w:val="left"/>
              <w:rPr>
                <w:rFonts w:ascii="Arial" w:hAnsi="Arial" w:cs="Arial"/>
                <w:b/>
                <w:color w:val="002060"/>
                <w:spacing w:val="-2"/>
                <w:sz w:val="20"/>
                <w:szCs w:val="20"/>
              </w:rPr>
            </w:pPr>
            <w:r w:rsidRPr="00D128EF">
              <w:rPr>
                <w:rFonts w:ascii="Arial" w:hAnsi="Arial" w:cs="Arial"/>
                <w:bCs/>
                <w:color w:val="002060"/>
                <w:spacing w:val="-2"/>
                <w:sz w:val="20"/>
                <w:szCs w:val="20"/>
              </w:rPr>
              <w:t>§ 2. Na wniosek osoby ściganej, co do której wydano nakaz w związku z prowadzonym przeciwko niej postępowaniem karnym, na czas trwania postępowania w państwie wykonania nakazu wyznacza się obrońcę z urzędu, chyba że korzysta ona już z pomocy obrońcy w tym postępowaniu karnym. Przepisy art. 78 § 1 i 2 stosuje się.</w:t>
            </w:r>
          </w:p>
        </w:tc>
      </w:tr>
      <w:tr w:rsidR="00B93182" w:rsidRPr="00D128EF" w14:paraId="62B3F963" w14:textId="77777777" w:rsidTr="00522E6D">
        <w:tc>
          <w:tcPr>
            <w:tcW w:w="14029" w:type="dxa"/>
            <w:vAlign w:val="center"/>
          </w:tcPr>
          <w:p w14:paraId="7353E14B" w14:textId="702BFBF8"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Art. 607l§ 3a.</w:t>
            </w:r>
            <w:r w:rsidRPr="00D128EF">
              <w:rPr>
                <w:rFonts w:ascii="Arial" w:hAnsi="Arial" w:cs="Arial"/>
                <w:bCs/>
                <w:spacing w:val="-2"/>
                <w:sz w:val="20"/>
                <w:szCs w:val="20"/>
              </w:rPr>
              <w:t xml:space="preserve"> W wypadku zatrzymania osoby, której nakaz europejski dotyczy, należy ją niezwłocznie pouczyć o jej uprawnieniach: do uzyskania informacji o treści nakazu europejskiego, o możliwości wyrażenia zgody na przekazanie, o możliwości złożenia oświadczenia w przedmiocie przekazania, do korzystania z pomocy obrońcy, do składania wyjaśnień, do odmowy składania wyjaśnień lub odmowy odpowiedzi na pytania, do przeglądania akt w zakresie dotyczącym przyczyn zatrzymania, do dostępu do pierwszej pomocy medycznej i do obecności na posiedzeniu, o którym mowa w § 1, jak również o uprawnieniach określonych w § 3, w art. 72 § 1, art. 78 § 1, art. 78a § 1, art. 202, art. 215, art. 257 § 1 i 2, art. 259, art. 261 § 1, 2 i 2a, art. 360, art. 361, </w:t>
            </w:r>
            <w:r w:rsidRPr="00D128EF">
              <w:rPr>
                <w:rFonts w:ascii="Arial" w:hAnsi="Arial" w:cs="Arial"/>
                <w:bCs/>
                <w:strike/>
                <w:color w:val="FF0000"/>
                <w:spacing w:val="-2"/>
                <w:sz w:val="20"/>
                <w:szCs w:val="20"/>
              </w:rPr>
              <w:t>art. 612</w:t>
            </w:r>
            <w:r w:rsidRPr="00D128EF">
              <w:rPr>
                <w:rFonts w:ascii="Arial" w:hAnsi="Arial" w:cs="Arial"/>
                <w:bCs/>
                <w:color w:val="FF0000"/>
                <w:spacing w:val="-2"/>
                <w:sz w:val="20"/>
                <w:szCs w:val="20"/>
              </w:rPr>
              <w:t xml:space="preserve"> </w:t>
            </w:r>
            <w:r w:rsidRPr="00D128EF">
              <w:rPr>
                <w:rFonts w:ascii="Arial" w:hAnsi="Arial" w:cs="Arial"/>
                <w:bCs/>
                <w:spacing w:val="-2"/>
                <w:sz w:val="20"/>
                <w:szCs w:val="20"/>
              </w:rPr>
              <w:t xml:space="preserve">oraz o treści art. 607k § 3 i 3a, a także o treści przepisów dotyczących środków zapobiegawczych, o których mowa w rozdziale 28, innych niż tymczasowe aresztowanie, a jeśli osoba, której nakaz europejski dotyczy, nie ukończyła 18 lat - ponadto o treści art. 76, art. 76a, </w:t>
            </w:r>
            <w:r w:rsidRPr="008923A3">
              <w:rPr>
                <w:rFonts w:ascii="Arial" w:hAnsi="Arial" w:cs="Arial"/>
                <w:bCs/>
                <w:color w:val="002060"/>
                <w:spacing w:val="-2"/>
                <w:sz w:val="20"/>
                <w:szCs w:val="20"/>
              </w:rPr>
              <w:t>art. 261 § 1a</w:t>
            </w:r>
            <w:r w:rsidRPr="00D128EF">
              <w:rPr>
                <w:rFonts w:ascii="Arial" w:hAnsi="Arial" w:cs="Arial"/>
                <w:bCs/>
                <w:color w:val="002060"/>
                <w:spacing w:val="-2"/>
                <w:sz w:val="20"/>
                <w:szCs w:val="20"/>
              </w:rPr>
              <w:t xml:space="preserve"> </w:t>
            </w:r>
            <w:r w:rsidRPr="00D128EF">
              <w:rPr>
                <w:rFonts w:ascii="Arial" w:hAnsi="Arial" w:cs="Arial"/>
                <w:bCs/>
                <w:spacing w:val="-2"/>
                <w:sz w:val="20"/>
                <w:szCs w:val="20"/>
              </w:rPr>
              <w:t xml:space="preserve"> oraz o treści art. 212 Kodeksu karnego wykonawczego, a także o roli organów uczestniczących w postępowaniu karnym. Pouczenie należy wręczyć na piśmie; otrzymanie pouczenia potwierdza się podpisem. Jeżeli osoba, której nakaz europejski dotyczy, nie ukończyła 18 lat, pouczenie wręcza się również przedstawicielowi ustawowemu lub osobie, pod której pieczą osoba, której nakaz europejski dotyczy, pozostaje, albo innej osobie wskazanej albo wyznaczonej, o której mowa w art. 76a, która otrzymanie pouczenia potwierdza podpisem.</w:t>
            </w:r>
          </w:p>
        </w:tc>
      </w:tr>
      <w:tr w:rsidR="00B93182" w:rsidRPr="00D128EF" w14:paraId="720DEE44" w14:textId="77777777" w:rsidTr="00522E6D">
        <w:tc>
          <w:tcPr>
            <w:tcW w:w="14029" w:type="dxa"/>
          </w:tcPr>
          <w:p w14:paraId="2EF1C887" w14:textId="24AD34F0" w:rsidR="00B93182" w:rsidRPr="00D128EF" w:rsidRDefault="00B93182" w:rsidP="00F66CAB">
            <w:pPr>
              <w:ind w:firstLine="0"/>
              <w:jc w:val="left"/>
              <w:rPr>
                <w:rFonts w:ascii="Arial" w:hAnsi="Arial" w:cs="Arial"/>
                <w:b/>
                <w:spacing w:val="-2"/>
                <w:sz w:val="20"/>
                <w:szCs w:val="20"/>
              </w:rPr>
            </w:pPr>
            <w:r w:rsidRPr="00D128EF">
              <w:rPr>
                <w:rFonts w:ascii="Arial" w:hAnsi="Arial" w:cs="Arial"/>
                <w:b/>
                <w:color w:val="002060"/>
                <w:spacing w:val="-2"/>
                <w:sz w:val="20"/>
                <w:szCs w:val="20"/>
              </w:rPr>
              <w:t>art. 607z § 3.</w:t>
            </w:r>
            <w:r w:rsidRPr="00D128EF">
              <w:rPr>
                <w:rFonts w:ascii="Arial" w:hAnsi="Arial" w:cs="Arial"/>
                <w:bCs/>
                <w:color w:val="002060"/>
                <w:spacing w:val="-2"/>
                <w:sz w:val="20"/>
                <w:szCs w:val="20"/>
              </w:rPr>
              <w:t xml:space="preserve"> W przypadku oświadczenia przez osobę ściganą woli skorzystania z prawa do ustanowienia obrońcy w państwie wydania nakazu europejskiego lub uzyskania tam pomocy obrońcy z urzędu, prokurator, a po wniesieniu sprawy do sądu sąd, bezzwłocznie informuje o tym organ sądowy, który wydał nakaz europejski. Po otrzymaniu informacji dotyczących sposobu ustanowienia obrońcy w państwie wydania nakazu europejskiego lub dotyczących wyznaczenia obrońcy z urzędu prokurator lub sąd niezwłocznie przekazuje je osobie ściganej.</w:t>
            </w:r>
          </w:p>
        </w:tc>
      </w:tr>
      <w:tr w:rsidR="00B93182" w:rsidRPr="00D128EF" w14:paraId="3892B1BB" w14:textId="77777777" w:rsidTr="00522E6D">
        <w:tc>
          <w:tcPr>
            <w:tcW w:w="14029" w:type="dxa"/>
          </w:tcPr>
          <w:p w14:paraId="179696BF" w14:textId="4ADB4CFC" w:rsidR="00B93182" w:rsidRPr="00D128EF" w:rsidRDefault="00B93182" w:rsidP="00F66CAB">
            <w:pPr>
              <w:ind w:firstLine="0"/>
              <w:jc w:val="left"/>
              <w:rPr>
                <w:rFonts w:ascii="Arial" w:hAnsi="Arial" w:cs="Arial"/>
                <w:bCs/>
                <w:spacing w:val="-2"/>
                <w:sz w:val="20"/>
                <w:szCs w:val="20"/>
              </w:rPr>
            </w:pPr>
            <w:r w:rsidRPr="00D128EF">
              <w:rPr>
                <w:rFonts w:ascii="Arial" w:hAnsi="Arial" w:cs="Arial"/>
                <w:b/>
                <w:spacing w:val="-2"/>
                <w:sz w:val="20"/>
                <w:szCs w:val="20"/>
              </w:rPr>
              <w:t xml:space="preserve">Art. 618b § 3. </w:t>
            </w:r>
            <w:r w:rsidRPr="00D128EF">
              <w:rPr>
                <w:rFonts w:ascii="Arial" w:hAnsi="Arial" w:cs="Arial"/>
                <w:bCs/>
                <w:spacing w:val="-2"/>
                <w:sz w:val="20"/>
                <w:szCs w:val="20"/>
              </w:rPr>
              <w:t xml:space="preserve">Górną granicę należności, o których mowa w § 2, stanowi równowartość </w:t>
            </w:r>
            <w:r w:rsidRPr="00D128EF">
              <w:rPr>
                <w:rFonts w:ascii="Arial" w:hAnsi="Arial" w:cs="Arial"/>
                <w:bCs/>
                <w:strike/>
                <w:color w:val="FF0000"/>
                <w:spacing w:val="-2"/>
                <w:sz w:val="20"/>
                <w:szCs w:val="20"/>
              </w:rPr>
              <w:t xml:space="preserve">4,6 </w:t>
            </w:r>
            <w:r w:rsidRPr="00D128EF">
              <w:rPr>
                <w:rFonts w:ascii="Arial" w:hAnsi="Arial" w:cs="Arial"/>
                <w:bCs/>
                <w:color w:val="002060"/>
                <w:spacing w:val="-2"/>
                <w:sz w:val="20"/>
                <w:szCs w:val="20"/>
              </w:rPr>
              <w:t>11</w:t>
            </w:r>
            <w:r w:rsidRPr="00D128EF">
              <w:rPr>
                <w:rFonts w:ascii="Arial" w:hAnsi="Arial" w:cs="Arial"/>
                <w:bCs/>
                <w:spacing w:val="-2"/>
                <w:sz w:val="20"/>
                <w:szCs w:val="20"/>
              </w:rPr>
              <w:t>% kwoty bazowej dla osób zajmujących kierownicze stanowiska państwowe, której wysokość, ustaloną według odrębnych zasad, określa ustawa budżetowa. W przypadku gdy ogłoszenie ustawy budżetowej nastąpi po dniu 1 stycznia roku, którego dotyczy ustawa budżetowa, podstawę obliczenia należności za okres od 1 stycznia do dnia ogłoszenia ustawy budżetowej stanowi kwota bazowa w wysokości obowiązującej w grudniu roku poprzedniego.</w:t>
            </w:r>
          </w:p>
        </w:tc>
      </w:tr>
      <w:tr w:rsidR="00B93182" w:rsidRPr="00D128EF" w14:paraId="4469E837" w14:textId="77777777" w:rsidTr="00522E6D">
        <w:tc>
          <w:tcPr>
            <w:tcW w:w="14029" w:type="dxa"/>
          </w:tcPr>
          <w:p w14:paraId="330FBC87" w14:textId="7027F180" w:rsidR="00B93182" w:rsidRPr="00D128EF" w:rsidRDefault="00B93182" w:rsidP="00F66CAB">
            <w:pPr>
              <w:ind w:firstLine="0"/>
              <w:jc w:val="left"/>
              <w:rPr>
                <w:rFonts w:ascii="Arial" w:hAnsi="Arial" w:cs="Arial"/>
                <w:bCs/>
                <w:spacing w:val="-2"/>
                <w:sz w:val="20"/>
                <w:szCs w:val="20"/>
              </w:rPr>
            </w:pPr>
            <w:r w:rsidRPr="00D128EF">
              <w:rPr>
                <w:rFonts w:ascii="Arial" w:hAnsi="Arial" w:cs="Arial"/>
                <w:b/>
                <w:color w:val="000000"/>
                <w:spacing w:val="-2"/>
                <w:sz w:val="20"/>
                <w:szCs w:val="20"/>
              </w:rPr>
              <w:t xml:space="preserve">Art. </w:t>
            </w:r>
            <w:r w:rsidRPr="00D128EF">
              <w:rPr>
                <w:rFonts w:ascii="Arial" w:hAnsi="Arial" w:cs="Arial"/>
                <w:b/>
                <w:spacing w:val="-2"/>
                <w:sz w:val="20"/>
                <w:szCs w:val="20"/>
              </w:rPr>
              <w:t xml:space="preserve">664. </w:t>
            </w:r>
            <w:r w:rsidRPr="00D128EF">
              <w:rPr>
                <w:rFonts w:ascii="Arial" w:hAnsi="Arial" w:cs="Arial"/>
                <w:bCs/>
                <w:spacing w:val="-2"/>
                <w:sz w:val="20"/>
                <w:szCs w:val="20"/>
              </w:rPr>
              <w:t xml:space="preserve">Prawo zatrzymania osoby </w:t>
            </w:r>
            <w:r w:rsidRPr="00D128EF">
              <w:rPr>
                <w:rFonts w:ascii="Arial" w:hAnsi="Arial" w:cs="Arial"/>
                <w:bCs/>
                <w:strike/>
                <w:color w:val="FF0000"/>
                <w:spacing w:val="-2"/>
                <w:sz w:val="20"/>
                <w:szCs w:val="20"/>
              </w:rPr>
              <w:t>podejrzanej</w:t>
            </w:r>
            <w:r w:rsidRPr="00D128EF">
              <w:rPr>
                <w:rFonts w:ascii="Arial" w:hAnsi="Arial" w:cs="Arial"/>
                <w:bCs/>
                <w:color w:val="FF0000"/>
                <w:spacing w:val="-2"/>
                <w:sz w:val="20"/>
                <w:szCs w:val="20"/>
              </w:rPr>
              <w:t xml:space="preserve"> </w:t>
            </w:r>
            <w:r w:rsidRPr="00D128EF">
              <w:rPr>
                <w:rFonts w:ascii="Arial" w:hAnsi="Arial" w:cs="Arial"/>
                <w:bCs/>
                <w:spacing w:val="-2"/>
                <w:sz w:val="20"/>
                <w:szCs w:val="20"/>
              </w:rPr>
              <w:t>podlegającej właściwości sądów wojskowych przysługuje, w warunkach określonych w art. 244, także przełożonemu wojskowemu i wojskowym organom porządkowym.</w:t>
            </w:r>
          </w:p>
        </w:tc>
      </w:tr>
    </w:tbl>
    <w:p w14:paraId="7DDA9E12" w14:textId="1FAAE397" w:rsidR="00703DD9" w:rsidRPr="00D128EF" w:rsidRDefault="00F66CAB" w:rsidP="00703DD9">
      <w:pPr>
        <w:ind w:firstLine="0"/>
        <w:rPr>
          <w:rFonts w:ascii="Arial" w:hAnsi="Arial" w:cs="Arial"/>
          <w:sz w:val="20"/>
          <w:szCs w:val="20"/>
        </w:rPr>
      </w:pPr>
      <w:r w:rsidRPr="00D128EF">
        <w:rPr>
          <w:rFonts w:ascii="Arial" w:hAnsi="Arial" w:cs="Arial"/>
          <w:sz w:val="20"/>
          <w:szCs w:val="20"/>
        </w:rPr>
        <w:br w:type="textWrapping" w:clear="all"/>
      </w:r>
    </w:p>
    <w:sectPr w:rsidR="00703DD9" w:rsidRPr="00D128EF" w:rsidSect="000D33D7">
      <w:footerReference w:type="default" r:id="rId11"/>
      <w:pgSz w:w="16838" w:h="11906" w:orient="landscape"/>
      <w:pgMar w:top="709" w:right="1245"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9E8DA" w14:textId="77777777" w:rsidR="00EE0241" w:rsidRDefault="00EE0241" w:rsidP="004B086D">
      <w:r>
        <w:separator/>
      </w:r>
    </w:p>
  </w:endnote>
  <w:endnote w:type="continuationSeparator" w:id="0">
    <w:p w14:paraId="0FC65965" w14:textId="77777777" w:rsidR="00EE0241" w:rsidRDefault="00EE0241" w:rsidP="004B0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901599702"/>
      <w:docPartObj>
        <w:docPartGallery w:val="Page Numbers (Bottom of Page)"/>
        <w:docPartUnique/>
      </w:docPartObj>
    </w:sdtPr>
    <w:sdtContent>
      <w:p w14:paraId="56390BFC" w14:textId="6CF5097A" w:rsidR="00AC3371" w:rsidRPr="00330160" w:rsidRDefault="00AC3371" w:rsidP="00330160">
        <w:pPr>
          <w:pStyle w:val="Stopka"/>
          <w:ind w:hanging="426"/>
          <w:jc w:val="left"/>
          <w:rPr>
            <w:sz w:val="16"/>
            <w:szCs w:val="16"/>
            <w:lang w:val="en-GB"/>
          </w:rPr>
        </w:pPr>
        <w:r w:rsidRPr="00330160">
          <w:rPr>
            <w:sz w:val="16"/>
            <w:szCs w:val="16"/>
            <w:lang w:val="en-GB"/>
          </w:rPr>
          <w:t>Created by</w:t>
        </w:r>
        <w:r w:rsidR="00330160" w:rsidRPr="00330160">
          <w:rPr>
            <w:sz w:val="16"/>
            <w:szCs w:val="16"/>
            <w:lang w:val="en-GB"/>
          </w:rPr>
          <w:t xml:space="preserve"> </w:t>
        </w:r>
        <w:r w:rsidR="00330160">
          <w:rPr>
            <w:sz w:val="16"/>
            <w:szCs w:val="16"/>
            <w:lang w:val="en-GB"/>
          </w:rPr>
          <w:t xml:space="preserve">dr </w:t>
        </w:r>
        <w:r w:rsidR="00330160" w:rsidRPr="00330160">
          <w:rPr>
            <w:sz w:val="16"/>
            <w:szCs w:val="16"/>
            <w:lang w:val="en-GB"/>
          </w:rPr>
          <w:t>Paweł Czarnecki (KPK UJ),</w:t>
        </w:r>
        <w:r w:rsidR="000D33D7">
          <w:rPr>
            <w:sz w:val="16"/>
            <w:szCs w:val="16"/>
            <w:lang w:val="en-GB"/>
          </w:rPr>
          <w:t xml:space="preserve"> </w:t>
        </w:r>
        <w:hyperlink r:id="rId1" w:history="1">
          <w:r w:rsidRPr="00330160">
            <w:rPr>
              <w:rStyle w:val="Hipercze"/>
              <w:sz w:val="16"/>
              <w:szCs w:val="16"/>
              <w:lang w:val="en-GB"/>
            </w:rPr>
            <w:t>pawellas@op.pl</w:t>
          </w:r>
        </w:hyperlink>
        <w:r w:rsidRPr="00330160">
          <w:rPr>
            <w:sz w:val="16"/>
            <w:szCs w:val="16"/>
            <w:lang w:val="en-GB"/>
          </w:rPr>
          <w:t xml:space="preserve"> </w:t>
        </w:r>
        <w:r w:rsidRPr="00330160">
          <w:rPr>
            <w:sz w:val="16"/>
            <w:szCs w:val="16"/>
            <w:lang w:val="en-GB"/>
          </w:rPr>
          <w:tab/>
        </w:r>
        <w:r w:rsidRPr="00330160">
          <w:rPr>
            <w:sz w:val="16"/>
            <w:szCs w:val="16"/>
            <w:lang w:val="en-GB"/>
          </w:rPr>
          <w:tab/>
        </w:r>
        <w:r w:rsidRPr="00330160">
          <w:rPr>
            <w:sz w:val="16"/>
            <w:szCs w:val="16"/>
            <w:lang w:val="en-GB"/>
          </w:rPr>
          <w:tab/>
        </w:r>
        <w:r w:rsidRPr="00330160">
          <w:rPr>
            <w:sz w:val="16"/>
            <w:szCs w:val="16"/>
            <w:lang w:val="en-GB"/>
          </w:rPr>
          <w:tab/>
        </w:r>
        <w:r w:rsidRPr="00330160">
          <w:rPr>
            <w:sz w:val="16"/>
            <w:szCs w:val="16"/>
            <w:lang w:val="en-GB"/>
          </w:rPr>
          <w:tab/>
        </w:r>
        <w:r w:rsidRPr="00330160">
          <w:rPr>
            <w:sz w:val="16"/>
            <w:szCs w:val="16"/>
            <w:lang w:val="en-GB"/>
          </w:rPr>
          <w:tab/>
        </w:r>
        <w:r w:rsidRPr="00330160">
          <w:rPr>
            <w:sz w:val="16"/>
            <w:szCs w:val="16"/>
            <w:lang w:val="en-GB"/>
          </w:rPr>
          <w:tab/>
        </w:r>
        <w:r w:rsidRPr="00330160">
          <w:rPr>
            <w:sz w:val="16"/>
            <w:szCs w:val="16"/>
            <w:lang w:val="en-GB"/>
          </w:rPr>
          <w:tab/>
        </w:r>
        <w:r w:rsidRPr="00330160">
          <w:rPr>
            <w:b/>
            <w:sz w:val="16"/>
            <w:szCs w:val="16"/>
          </w:rPr>
          <w:fldChar w:fldCharType="begin"/>
        </w:r>
        <w:r w:rsidRPr="00330160">
          <w:rPr>
            <w:b/>
            <w:sz w:val="16"/>
            <w:szCs w:val="16"/>
            <w:lang w:val="en-GB"/>
          </w:rPr>
          <w:instrText>PAGE   \* MERGEFORMAT</w:instrText>
        </w:r>
        <w:r w:rsidRPr="00330160">
          <w:rPr>
            <w:b/>
            <w:sz w:val="16"/>
            <w:szCs w:val="16"/>
          </w:rPr>
          <w:fldChar w:fldCharType="separate"/>
        </w:r>
        <w:r w:rsidR="00043C02" w:rsidRPr="00330160">
          <w:rPr>
            <w:b/>
            <w:noProof/>
            <w:sz w:val="16"/>
            <w:szCs w:val="16"/>
            <w:lang w:val="en-GB"/>
          </w:rPr>
          <w:t>16</w:t>
        </w:r>
        <w:r w:rsidRPr="00330160">
          <w:rPr>
            <w:b/>
            <w:sz w:val="16"/>
            <w:szCs w:val="16"/>
          </w:rPr>
          <w:fldChar w:fldCharType="end"/>
        </w:r>
        <w:r w:rsidRPr="00330160">
          <w:rPr>
            <w:b/>
            <w:sz w:val="16"/>
            <w:szCs w:val="16"/>
            <w:lang w:val="en-GB"/>
          </w:rPr>
          <w:t>/</w:t>
        </w:r>
        <w:r w:rsidRPr="00330160">
          <w:rPr>
            <w:b/>
            <w:sz w:val="16"/>
            <w:szCs w:val="16"/>
          </w:rPr>
          <w:fldChar w:fldCharType="begin"/>
        </w:r>
        <w:r w:rsidRPr="00330160">
          <w:rPr>
            <w:b/>
            <w:sz w:val="16"/>
            <w:szCs w:val="16"/>
            <w:lang w:val="en-GB"/>
          </w:rPr>
          <w:instrText xml:space="preserve"> NUMPAGES   \* MERGEFORMAT </w:instrText>
        </w:r>
        <w:r w:rsidRPr="00330160">
          <w:rPr>
            <w:b/>
            <w:sz w:val="16"/>
            <w:szCs w:val="16"/>
          </w:rPr>
          <w:fldChar w:fldCharType="separate"/>
        </w:r>
        <w:r w:rsidR="00043C02" w:rsidRPr="00330160">
          <w:rPr>
            <w:b/>
            <w:noProof/>
            <w:sz w:val="16"/>
            <w:szCs w:val="16"/>
            <w:lang w:val="en-GB"/>
          </w:rPr>
          <w:t>17</w:t>
        </w:r>
        <w:r w:rsidRPr="00330160">
          <w:rPr>
            <w:b/>
            <w:sz w:val="16"/>
            <w:szCs w:val="16"/>
          </w:rPr>
          <w:fldChar w:fldCharType="end"/>
        </w:r>
      </w:p>
    </w:sdtContent>
  </w:sdt>
  <w:p w14:paraId="658D9FE8" w14:textId="77777777" w:rsidR="00AC3371" w:rsidRPr="002614E2" w:rsidRDefault="00AC3371">
    <w:pPr>
      <w:pStyle w:val="Stopk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DC777" w14:textId="77777777" w:rsidR="00EE0241" w:rsidRDefault="00EE0241" w:rsidP="004B086D">
      <w:r>
        <w:separator/>
      </w:r>
    </w:p>
  </w:footnote>
  <w:footnote w:type="continuationSeparator" w:id="0">
    <w:p w14:paraId="24DA3425" w14:textId="77777777" w:rsidR="00EE0241" w:rsidRDefault="00EE0241" w:rsidP="004B0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8276F"/>
    <w:multiLevelType w:val="hybridMultilevel"/>
    <w:tmpl w:val="E32226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582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540"/>
    <w:rsid w:val="000165AC"/>
    <w:rsid w:val="00025BE4"/>
    <w:rsid w:val="0002724F"/>
    <w:rsid w:val="00043C02"/>
    <w:rsid w:val="00044E5D"/>
    <w:rsid w:val="00057BF2"/>
    <w:rsid w:val="00063356"/>
    <w:rsid w:val="000761E9"/>
    <w:rsid w:val="000804F6"/>
    <w:rsid w:val="00086D3A"/>
    <w:rsid w:val="00091976"/>
    <w:rsid w:val="00093A51"/>
    <w:rsid w:val="000A537B"/>
    <w:rsid w:val="000A62C5"/>
    <w:rsid w:val="000C36FF"/>
    <w:rsid w:val="000D198B"/>
    <w:rsid w:val="000D33D7"/>
    <w:rsid w:val="000F7983"/>
    <w:rsid w:val="00101CC1"/>
    <w:rsid w:val="00130D4B"/>
    <w:rsid w:val="00137820"/>
    <w:rsid w:val="00152224"/>
    <w:rsid w:val="001710B2"/>
    <w:rsid w:val="00172483"/>
    <w:rsid w:val="00187D70"/>
    <w:rsid w:val="0019655D"/>
    <w:rsid w:val="001A7B3C"/>
    <w:rsid w:val="001C6454"/>
    <w:rsid w:val="001E6369"/>
    <w:rsid w:val="002034A2"/>
    <w:rsid w:val="00204D0F"/>
    <w:rsid w:val="002270AC"/>
    <w:rsid w:val="002340A3"/>
    <w:rsid w:val="00236E51"/>
    <w:rsid w:val="00257627"/>
    <w:rsid w:val="002614E2"/>
    <w:rsid w:val="0027246A"/>
    <w:rsid w:val="002739BF"/>
    <w:rsid w:val="002754A9"/>
    <w:rsid w:val="00280506"/>
    <w:rsid w:val="0029402D"/>
    <w:rsid w:val="002A4368"/>
    <w:rsid w:val="002A7F04"/>
    <w:rsid w:val="002B23B9"/>
    <w:rsid w:val="002B53C6"/>
    <w:rsid w:val="002C1AA2"/>
    <w:rsid w:val="002D06D1"/>
    <w:rsid w:val="002D3761"/>
    <w:rsid w:val="002E5292"/>
    <w:rsid w:val="0030523A"/>
    <w:rsid w:val="003117B8"/>
    <w:rsid w:val="00330160"/>
    <w:rsid w:val="00331CEF"/>
    <w:rsid w:val="003672B9"/>
    <w:rsid w:val="0037325C"/>
    <w:rsid w:val="003958B3"/>
    <w:rsid w:val="003978C2"/>
    <w:rsid w:val="003A32C0"/>
    <w:rsid w:val="003B0575"/>
    <w:rsid w:val="003C45DA"/>
    <w:rsid w:val="003F76E4"/>
    <w:rsid w:val="00405FD0"/>
    <w:rsid w:val="004072E5"/>
    <w:rsid w:val="00424724"/>
    <w:rsid w:val="00447780"/>
    <w:rsid w:val="0045123E"/>
    <w:rsid w:val="004538FC"/>
    <w:rsid w:val="00481B94"/>
    <w:rsid w:val="004836CF"/>
    <w:rsid w:val="00491F8F"/>
    <w:rsid w:val="004A33D5"/>
    <w:rsid w:val="004B086D"/>
    <w:rsid w:val="004C6F1A"/>
    <w:rsid w:val="004D2208"/>
    <w:rsid w:val="004D49B2"/>
    <w:rsid w:val="004F3865"/>
    <w:rsid w:val="004F7ABF"/>
    <w:rsid w:val="00500BAE"/>
    <w:rsid w:val="00506C44"/>
    <w:rsid w:val="00507487"/>
    <w:rsid w:val="00511412"/>
    <w:rsid w:val="005155C8"/>
    <w:rsid w:val="00516424"/>
    <w:rsid w:val="00522E6D"/>
    <w:rsid w:val="00534B53"/>
    <w:rsid w:val="005521A8"/>
    <w:rsid w:val="00552E8A"/>
    <w:rsid w:val="00574461"/>
    <w:rsid w:val="005819A1"/>
    <w:rsid w:val="00585A23"/>
    <w:rsid w:val="00595E5C"/>
    <w:rsid w:val="005C2429"/>
    <w:rsid w:val="005D2EA7"/>
    <w:rsid w:val="005D79C5"/>
    <w:rsid w:val="0060069F"/>
    <w:rsid w:val="00610C80"/>
    <w:rsid w:val="006201F6"/>
    <w:rsid w:val="006433A0"/>
    <w:rsid w:val="00660F07"/>
    <w:rsid w:val="00666E43"/>
    <w:rsid w:val="006714FD"/>
    <w:rsid w:val="00676938"/>
    <w:rsid w:val="006968F3"/>
    <w:rsid w:val="006A1EAA"/>
    <w:rsid w:val="006B5554"/>
    <w:rsid w:val="006D0B2A"/>
    <w:rsid w:val="006D2134"/>
    <w:rsid w:val="006F08B4"/>
    <w:rsid w:val="00703DD9"/>
    <w:rsid w:val="0073267A"/>
    <w:rsid w:val="00732780"/>
    <w:rsid w:val="007401D5"/>
    <w:rsid w:val="00762EB3"/>
    <w:rsid w:val="00776923"/>
    <w:rsid w:val="007874E5"/>
    <w:rsid w:val="00791F10"/>
    <w:rsid w:val="007B104C"/>
    <w:rsid w:val="007C6A7A"/>
    <w:rsid w:val="007C6D6C"/>
    <w:rsid w:val="007D26CC"/>
    <w:rsid w:val="007F041F"/>
    <w:rsid w:val="007F474F"/>
    <w:rsid w:val="00811778"/>
    <w:rsid w:val="00811B88"/>
    <w:rsid w:val="00812D0E"/>
    <w:rsid w:val="00817954"/>
    <w:rsid w:val="0082589F"/>
    <w:rsid w:val="00835A3D"/>
    <w:rsid w:val="00843BE4"/>
    <w:rsid w:val="0086188F"/>
    <w:rsid w:val="00886207"/>
    <w:rsid w:val="008923A3"/>
    <w:rsid w:val="00896D02"/>
    <w:rsid w:val="008B2CD8"/>
    <w:rsid w:val="008C5C48"/>
    <w:rsid w:val="008D6AC6"/>
    <w:rsid w:val="008E0B0B"/>
    <w:rsid w:val="009048FB"/>
    <w:rsid w:val="00907112"/>
    <w:rsid w:val="00910BA6"/>
    <w:rsid w:val="00937808"/>
    <w:rsid w:val="00945D58"/>
    <w:rsid w:val="00963C2D"/>
    <w:rsid w:val="00972C16"/>
    <w:rsid w:val="00986988"/>
    <w:rsid w:val="009A6B8B"/>
    <w:rsid w:val="009B7BE6"/>
    <w:rsid w:val="009D03B7"/>
    <w:rsid w:val="009D1799"/>
    <w:rsid w:val="009D3C21"/>
    <w:rsid w:val="009D7C92"/>
    <w:rsid w:val="009F1139"/>
    <w:rsid w:val="00A067DB"/>
    <w:rsid w:val="00A10A0C"/>
    <w:rsid w:val="00A17184"/>
    <w:rsid w:val="00A27B26"/>
    <w:rsid w:val="00A32053"/>
    <w:rsid w:val="00A37600"/>
    <w:rsid w:val="00A45514"/>
    <w:rsid w:val="00A478CA"/>
    <w:rsid w:val="00A55F8E"/>
    <w:rsid w:val="00A85AB5"/>
    <w:rsid w:val="00AC3371"/>
    <w:rsid w:val="00AD48DB"/>
    <w:rsid w:val="00AE03D8"/>
    <w:rsid w:val="00AE27F0"/>
    <w:rsid w:val="00B046A1"/>
    <w:rsid w:val="00B5099B"/>
    <w:rsid w:val="00B750F9"/>
    <w:rsid w:val="00B77E5A"/>
    <w:rsid w:val="00B80AD5"/>
    <w:rsid w:val="00B90202"/>
    <w:rsid w:val="00B93182"/>
    <w:rsid w:val="00BA7359"/>
    <w:rsid w:val="00BB669C"/>
    <w:rsid w:val="00BD01F7"/>
    <w:rsid w:val="00BE451A"/>
    <w:rsid w:val="00BF3EB8"/>
    <w:rsid w:val="00C01222"/>
    <w:rsid w:val="00C1197D"/>
    <w:rsid w:val="00C14F7D"/>
    <w:rsid w:val="00C40455"/>
    <w:rsid w:val="00C415B2"/>
    <w:rsid w:val="00C4750C"/>
    <w:rsid w:val="00C63CC2"/>
    <w:rsid w:val="00C737FE"/>
    <w:rsid w:val="00C75089"/>
    <w:rsid w:val="00C85951"/>
    <w:rsid w:val="00C95055"/>
    <w:rsid w:val="00CA3132"/>
    <w:rsid w:val="00CD50C5"/>
    <w:rsid w:val="00CD7056"/>
    <w:rsid w:val="00CF6222"/>
    <w:rsid w:val="00D1073F"/>
    <w:rsid w:val="00D128EF"/>
    <w:rsid w:val="00D2477E"/>
    <w:rsid w:val="00DB3AEA"/>
    <w:rsid w:val="00DC073E"/>
    <w:rsid w:val="00DC3D72"/>
    <w:rsid w:val="00DC5C54"/>
    <w:rsid w:val="00DF5093"/>
    <w:rsid w:val="00E01DBE"/>
    <w:rsid w:val="00E100C9"/>
    <w:rsid w:val="00E57908"/>
    <w:rsid w:val="00E66776"/>
    <w:rsid w:val="00E717B3"/>
    <w:rsid w:val="00E74A0B"/>
    <w:rsid w:val="00E87A40"/>
    <w:rsid w:val="00E87E3E"/>
    <w:rsid w:val="00EA7CCA"/>
    <w:rsid w:val="00EB3430"/>
    <w:rsid w:val="00EC347E"/>
    <w:rsid w:val="00ED5D6A"/>
    <w:rsid w:val="00EE0241"/>
    <w:rsid w:val="00EF7CE2"/>
    <w:rsid w:val="00F46378"/>
    <w:rsid w:val="00F557D9"/>
    <w:rsid w:val="00F66CAB"/>
    <w:rsid w:val="00F707F5"/>
    <w:rsid w:val="00FB4103"/>
    <w:rsid w:val="00FC0540"/>
    <w:rsid w:val="00FC338B"/>
    <w:rsid w:val="00FD3EBD"/>
    <w:rsid w:val="00FD5691"/>
    <w:rsid w:val="00FE0EDE"/>
    <w:rsid w:val="00FE31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45AF1"/>
  <w15:chartTrackingRefBased/>
  <w15:docId w15:val="{3DFD6584-6021-49E7-AF4A-367F6ABCC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F6222"/>
    <w:pPr>
      <w:spacing w:after="0" w:line="240" w:lineRule="auto"/>
      <w:ind w:firstLine="709"/>
      <w:jc w:val="both"/>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utor">
    <w:name w:val="Autor"/>
    <w:basedOn w:val="Normalny"/>
    <w:qFormat/>
    <w:rsid w:val="00ED5D6A"/>
    <w:pPr>
      <w:spacing w:line="360" w:lineRule="auto"/>
    </w:pPr>
  </w:style>
  <w:style w:type="table" w:styleId="Tabela-Siatka">
    <w:name w:val="Table Grid"/>
    <w:basedOn w:val="Standardowy"/>
    <w:uiPriority w:val="39"/>
    <w:rsid w:val="00FC0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B086D"/>
    <w:pPr>
      <w:tabs>
        <w:tab w:val="center" w:pos="4536"/>
        <w:tab w:val="right" w:pos="9072"/>
      </w:tabs>
    </w:pPr>
  </w:style>
  <w:style w:type="character" w:customStyle="1" w:styleId="NagwekZnak">
    <w:name w:val="Nagłówek Znak"/>
    <w:basedOn w:val="Domylnaczcionkaakapitu"/>
    <w:link w:val="Nagwek"/>
    <w:uiPriority w:val="99"/>
    <w:rsid w:val="004B086D"/>
    <w:rPr>
      <w:rFonts w:ascii="Times New Roman" w:hAnsi="Times New Roman"/>
      <w:sz w:val="24"/>
    </w:rPr>
  </w:style>
  <w:style w:type="paragraph" w:styleId="Stopka">
    <w:name w:val="footer"/>
    <w:basedOn w:val="Normalny"/>
    <w:link w:val="StopkaZnak"/>
    <w:uiPriority w:val="99"/>
    <w:unhideWhenUsed/>
    <w:rsid w:val="004B086D"/>
    <w:pPr>
      <w:tabs>
        <w:tab w:val="center" w:pos="4536"/>
        <w:tab w:val="right" w:pos="9072"/>
      </w:tabs>
    </w:pPr>
  </w:style>
  <w:style w:type="character" w:customStyle="1" w:styleId="StopkaZnak">
    <w:name w:val="Stopka Znak"/>
    <w:basedOn w:val="Domylnaczcionkaakapitu"/>
    <w:link w:val="Stopka"/>
    <w:uiPriority w:val="99"/>
    <w:rsid w:val="004B086D"/>
    <w:rPr>
      <w:rFonts w:ascii="Times New Roman" w:hAnsi="Times New Roman"/>
      <w:sz w:val="24"/>
    </w:rPr>
  </w:style>
  <w:style w:type="character" w:styleId="Hipercze">
    <w:name w:val="Hyperlink"/>
    <w:basedOn w:val="Domylnaczcionkaakapitu"/>
    <w:uiPriority w:val="99"/>
    <w:unhideWhenUsed/>
    <w:rsid w:val="002614E2"/>
    <w:rPr>
      <w:color w:val="0563C1" w:themeColor="hyperlink"/>
      <w:u w:val="single"/>
    </w:rPr>
  </w:style>
  <w:style w:type="paragraph" w:customStyle="1" w:styleId="Default">
    <w:name w:val="Default"/>
    <w:rsid w:val="00E74A0B"/>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5C2429"/>
    <w:pPr>
      <w:ind w:left="720"/>
      <w:contextualSpacing/>
    </w:pPr>
  </w:style>
  <w:style w:type="paragraph" w:styleId="Tekstprzypisukocowego">
    <w:name w:val="endnote text"/>
    <w:basedOn w:val="Normalny"/>
    <w:link w:val="TekstprzypisukocowegoZnak"/>
    <w:uiPriority w:val="99"/>
    <w:semiHidden/>
    <w:unhideWhenUsed/>
    <w:rsid w:val="004D49B2"/>
    <w:rPr>
      <w:sz w:val="20"/>
      <w:szCs w:val="20"/>
    </w:rPr>
  </w:style>
  <w:style w:type="character" w:customStyle="1" w:styleId="TekstprzypisukocowegoZnak">
    <w:name w:val="Tekst przypisu końcowego Znak"/>
    <w:basedOn w:val="Domylnaczcionkaakapitu"/>
    <w:link w:val="Tekstprzypisukocowego"/>
    <w:uiPriority w:val="99"/>
    <w:semiHidden/>
    <w:rsid w:val="004D49B2"/>
    <w:rPr>
      <w:rFonts w:ascii="Times New Roman" w:hAnsi="Times New Roman"/>
      <w:sz w:val="20"/>
      <w:szCs w:val="20"/>
    </w:rPr>
  </w:style>
  <w:style w:type="character" w:styleId="Odwoanieprzypisukocowego">
    <w:name w:val="endnote reference"/>
    <w:basedOn w:val="Domylnaczcionkaakapitu"/>
    <w:uiPriority w:val="99"/>
    <w:semiHidden/>
    <w:unhideWhenUsed/>
    <w:rsid w:val="004D49B2"/>
    <w:rPr>
      <w:vertAlign w:val="superscript"/>
    </w:rPr>
  </w:style>
  <w:style w:type="character" w:styleId="Nierozpoznanawzmianka">
    <w:name w:val="Unresolved Mention"/>
    <w:basedOn w:val="Domylnaczcionkaakapitu"/>
    <w:uiPriority w:val="99"/>
    <w:semiHidden/>
    <w:unhideWhenUsed/>
    <w:rsid w:val="00280506"/>
    <w:rPr>
      <w:color w:val="605E5C"/>
      <w:shd w:val="clear" w:color="auto" w:fill="E1DFDD"/>
    </w:rPr>
  </w:style>
  <w:style w:type="paragraph" w:customStyle="1" w:styleId="ZLITUSTzmustliter">
    <w:name w:val="Z_LIT/UST(§) – zm. ust. (§) literą"/>
    <w:basedOn w:val="Normalny"/>
    <w:uiPriority w:val="46"/>
    <w:qFormat/>
    <w:rsid w:val="000C36FF"/>
    <w:pPr>
      <w:suppressAutoHyphens/>
      <w:autoSpaceDE w:val="0"/>
      <w:autoSpaceDN w:val="0"/>
      <w:adjustRightInd w:val="0"/>
      <w:spacing w:line="360" w:lineRule="auto"/>
      <w:ind w:left="987" w:firstLine="510"/>
    </w:pPr>
    <w:rPr>
      <w:rFonts w:ascii="Times" w:eastAsiaTheme="minorEastAsia" w:hAnsi="Times" w:cs="Arial"/>
      <w:bCs/>
      <w:szCs w:val="20"/>
      <w:lang w:eastAsia="pl-PL"/>
    </w:rPr>
  </w:style>
  <w:style w:type="paragraph" w:customStyle="1" w:styleId="ZARTzmartartykuempunktem">
    <w:name w:val="Z/ART(§) – zm. art. (§) artykułem (punktem)"/>
    <w:basedOn w:val="Normalny"/>
    <w:uiPriority w:val="30"/>
    <w:qFormat/>
    <w:rsid w:val="007401D5"/>
    <w:pPr>
      <w:suppressAutoHyphens/>
      <w:autoSpaceDE w:val="0"/>
      <w:autoSpaceDN w:val="0"/>
      <w:adjustRightInd w:val="0"/>
      <w:spacing w:line="360" w:lineRule="auto"/>
      <w:ind w:left="510" w:firstLine="510"/>
    </w:pPr>
    <w:rPr>
      <w:rFonts w:ascii="Times" w:eastAsiaTheme="minorEastAsia" w:hAnsi="Times" w:cs="Arial"/>
      <w:szCs w:val="20"/>
      <w:lang w:eastAsia="pl-PL"/>
    </w:rPr>
  </w:style>
  <w:style w:type="paragraph" w:customStyle="1" w:styleId="ZLITPKTzmpktliter">
    <w:name w:val="Z_LIT/PKT – zm. pkt literą"/>
    <w:basedOn w:val="Normalny"/>
    <w:uiPriority w:val="47"/>
    <w:qFormat/>
    <w:rsid w:val="00843BE4"/>
    <w:pPr>
      <w:spacing w:line="360" w:lineRule="auto"/>
      <w:ind w:left="1497" w:hanging="510"/>
    </w:pPr>
    <w:rPr>
      <w:rFonts w:ascii="Times" w:eastAsiaTheme="minorEastAsia" w:hAnsi="Times" w:cs="Arial"/>
      <w:bCs/>
      <w:szCs w:val="20"/>
      <w:lang w:eastAsia="pl-PL"/>
    </w:rPr>
  </w:style>
  <w:style w:type="paragraph" w:customStyle="1" w:styleId="ZODNONIKAzmtekstuodnonikaartykuempunktem">
    <w:name w:val="Z/ODNOŚNIKA – zm. tekstu odnośnika artykułem (punktem)"/>
    <w:basedOn w:val="Normalny"/>
    <w:uiPriority w:val="39"/>
    <w:qFormat/>
    <w:rsid w:val="003958B3"/>
    <w:pPr>
      <w:spacing w:line="360" w:lineRule="auto"/>
      <w:ind w:left="907" w:hanging="397"/>
    </w:pPr>
    <w:rPr>
      <w:rFonts w:eastAsiaTheme="minorEastAsia" w:cs="Arial"/>
      <w:szCs w:val="20"/>
      <w:lang w:eastAsia="pl-PL"/>
    </w:rPr>
  </w:style>
  <w:style w:type="paragraph" w:customStyle="1" w:styleId="ZUSTzmustartykuempunktem">
    <w:name w:val="Z/UST(§) – zm. ust. (§) artykułem (punktem)"/>
    <w:basedOn w:val="ZARTzmartartykuempunktem"/>
    <w:uiPriority w:val="30"/>
    <w:qFormat/>
    <w:rsid w:val="00424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728">
      <w:bodyDiv w:val="1"/>
      <w:marLeft w:val="0"/>
      <w:marRight w:val="0"/>
      <w:marTop w:val="0"/>
      <w:marBottom w:val="0"/>
      <w:divBdr>
        <w:top w:val="none" w:sz="0" w:space="0" w:color="auto"/>
        <w:left w:val="none" w:sz="0" w:space="0" w:color="auto"/>
        <w:bottom w:val="none" w:sz="0" w:space="0" w:color="auto"/>
        <w:right w:val="none" w:sz="0" w:space="0" w:color="auto"/>
      </w:divBdr>
      <w:divsChild>
        <w:div w:id="223874786">
          <w:marLeft w:val="0"/>
          <w:marRight w:val="0"/>
          <w:marTop w:val="72"/>
          <w:marBottom w:val="0"/>
          <w:divBdr>
            <w:top w:val="none" w:sz="0" w:space="0" w:color="auto"/>
            <w:left w:val="none" w:sz="0" w:space="0" w:color="auto"/>
            <w:bottom w:val="none" w:sz="0" w:space="0" w:color="auto"/>
            <w:right w:val="none" w:sz="0" w:space="0" w:color="auto"/>
          </w:divBdr>
          <w:divsChild>
            <w:div w:id="1880120417">
              <w:marLeft w:val="0"/>
              <w:marRight w:val="0"/>
              <w:marTop w:val="0"/>
              <w:marBottom w:val="0"/>
              <w:divBdr>
                <w:top w:val="none" w:sz="0" w:space="0" w:color="auto"/>
                <w:left w:val="none" w:sz="0" w:space="0" w:color="auto"/>
                <w:bottom w:val="none" w:sz="0" w:space="0" w:color="auto"/>
                <w:right w:val="none" w:sz="0" w:space="0" w:color="auto"/>
              </w:divBdr>
            </w:div>
          </w:divsChild>
        </w:div>
        <w:div w:id="112092988">
          <w:marLeft w:val="0"/>
          <w:marRight w:val="0"/>
          <w:marTop w:val="72"/>
          <w:marBottom w:val="0"/>
          <w:divBdr>
            <w:top w:val="none" w:sz="0" w:space="0" w:color="auto"/>
            <w:left w:val="none" w:sz="0" w:space="0" w:color="auto"/>
            <w:bottom w:val="none" w:sz="0" w:space="0" w:color="auto"/>
            <w:right w:val="none" w:sz="0" w:space="0" w:color="auto"/>
          </w:divBdr>
          <w:divsChild>
            <w:div w:id="209573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536">
      <w:bodyDiv w:val="1"/>
      <w:marLeft w:val="0"/>
      <w:marRight w:val="0"/>
      <w:marTop w:val="0"/>
      <w:marBottom w:val="0"/>
      <w:divBdr>
        <w:top w:val="none" w:sz="0" w:space="0" w:color="auto"/>
        <w:left w:val="none" w:sz="0" w:space="0" w:color="auto"/>
        <w:bottom w:val="none" w:sz="0" w:space="0" w:color="auto"/>
        <w:right w:val="none" w:sz="0" w:space="0" w:color="auto"/>
      </w:divBdr>
      <w:divsChild>
        <w:div w:id="1720786582">
          <w:marLeft w:val="0"/>
          <w:marRight w:val="0"/>
          <w:marTop w:val="72"/>
          <w:marBottom w:val="0"/>
          <w:divBdr>
            <w:top w:val="none" w:sz="0" w:space="0" w:color="auto"/>
            <w:left w:val="none" w:sz="0" w:space="0" w:color="auto"/>
            <w:bottom w:val="none" w:sz="0" w:space="0" w:color="auto"/>
            <w:right w:val="none" w:sz="0" w:space="0" w:color="auto"/>
          </w:divBdr>
        </w:div>
      </w:divsChild>
    </w:div>
    <w:div w:id="58720507">
      <w:bodyDiv w:val="1"/>
      <w:marLeft w:val="0"/>
      <w:marRight w:val="0"/>
      <w:marTop w:val="0"/>
      <w:marBottom w:val="0"/>
      <w:divBdr>
        <w:top w:val="none" w:sz="0" w:space="0" w:color="auto"/>
        <w:left w:val="none" w:sz="0" w:space="0" w:color="auto"/>
        <w:bottom w:val="none" w:sz="0" w:space="0" w:color="auto"/>
        <w:right w:val="none" w:sz="0" w:space="0" w:color="auto"/>
      </w:divBdr>
    </w:div>
    <w:div w:id="62140250">
      <w:bodyDiv w:val="1"/>
      <w:marLeft w:val="0"/>
      <w:marRight w:val="0"/>
      <w:marTop w:val="0"/>
      <w:marBottom w:val="0"/>
      <w:divBdr>
        <w:top w:val="none" w:sz="0" w:space="0" w:color="auto"/>
        <w:left w:val="none" w:sz="0" w:space="0" w:color="auto"/>
        <w:bottom w:val="none" w:sz="0" w:space="0" w:color="auto"/>
        <w:right w:val="none" w:sz="0" w:space="0" w:color="auto"/>
      </w:divBdr>
    </w:div>
    <w:div w:id="103307329">
      <w:bodyDiv w:val="1"/>
      <w:marLeft w:val="0"/>
      <w:marRight w:val="0"/>
      <w:marTop w:val="0"/>
      <w:marBottom w:val="0"/>
      <w:divBdr>
        <w:top w:val="none" w:sz="0" w:space="0" w:color="auto"/>
        <w:left w:val="none" w:sz="0" w:space="0" w:color="auto"/>
        <w:bottom w:val="none" w:sz="0" w:space="0" w:color="auto"/>
        <w:right w:val="none" w:sz="0" w:space="0" w:color="auto"/>
      </w:divBdr>
      <w:divsChild>
        <w:div w:id="736243408">
          <w:marLeft w:val="0"/>
          <w:marRight w:val="0"/>
          <w:marTop w:val="0"/>
          <w:marBottom w:val="240"/>
          <w:divBdr>
            <w:top w:val="none" w:sz="0" w:space="0" w:color="auto"/>
            <w:left w:val="none" w:sz="0" w:space="0" w:color="auto"/>
            <w:bottom w:val="none" w:sz="0" w:space="0" w:color="auto"/>
            <w:right w:val="none" w:sz="0" w:space="0" w:color="auto"/>
          </w:divBdr>
        </w:div>
      </w:divsChild>
    </w:div>
    <w:div w:id="108863385">
      <w:bodyDiv w:val="1"/>
      <w:marLeft w:val="0"/>
      <w:marRight w:val="0"/>
      <w:marTop w:val="0"/>
      <w:marBottom w:val="0"/>
      <w:divBdr>
        <w:top w:val="none" w:sz="0" w:space="0" w:color="auto"/>
        <w:left w:val="none" w:sz="0" w:space="0" w:color="auto"/>
        <w:bottom w:val="none" w:sz="0" w:space="0" w:color="auto"/>
        <w:right w:val="none" w:sz="0" w:space="0" w:color="auto"/>
      </w:divBdr>
      <w:divsChild>
        <w:div w:id="1743328951">
          <w:marLeft w:val="0"/>
          <w:marRight w:val="0"/>
          <w:marTop w:val="72"/>
          <w:marBottom w:val="0"/>
          <w:divBdr>
            <w:top w:val="none" w:sz="0" w:space="0" w:color="auto"/>
            <w:left w:val="none" w:sz="0" w:space="0" w:color="auto"/>
            <w:bottom w:val="none" w:sz="0" w:space="0" w:color="auto"/>
            <w:right w:val="none" w:sz="0" w:space="0" w:color="auto"/>
          </w:divBdr>
        </w:div>
      </w:divsChild>
    </w:div>
    <w:div w:id="256376915">
      <w:bodyDiv w:val="1"/>
      <w:marLeft w:val="0"/>
      <w:marRight w:val="0"/>
      <w:marTop w:val="0"/>
      <w:marBottom w:val="0"/>
      <w:divBdr>
        <w:top w:val="none" w:sz="0" w:space="0" w:color="auto"/>
        <w:left w:val="none" w:sz="0" w:space="0" w:color="auto"/>
        <w:bottom w:val="none" w:sz="0" w:space="0" w:color="auto"/>
        <w:right w:val="none" w:sz="0" w:space="0" w:color="auto"/>
      </w:divBdr>
    </w:div>
    <w:div w:id="276916346">
      <w:bodyDiv w:val="1"/>
      <w:marLeft w:val="0"/>
      <w:marRight w:val="0"/>
      <w:marTop w:val="0"/>
      <w:marBottom w:val="0"/>
      <w:divBdr>
        <w:top w:val="none" w:sz="0" w:space="0" w:color="auto"/>
        <w:left w:val="none" w:sz="0" w:space="0" w:color="auto"/>
        <w:bottom w:val="none" w:sz="0" w:space="0" w:color="auto"/>
        <w:right w:val="none" w:sz="0" w:space="0" w:color="auto"/>
      </w:divBdr>
      <w:divsChild>
        <w:div w:id="2125148804">
          <w:marLeft w:val="0"/>
          <w:marRight w:val="0"/>
          <w:marTop w:val="0"/>
          <w:marBottom w:val="240"/>
          <w:divBdr>
            <w:top w:val="none" w:sz="0" w:space="0" w:color="auto"/>
            <w:left w:val="none" w:sz="0" w:space="0" w:color="auto"/>
            <w:bottom w:val="none" w:sz="0" w:space="0" w:color="auto"/>
            <w:right w:val="none" w:sz="0" w:space="0" w:color="auto"/>
          </w:divBdr>
          <w:divsChild>
            <w:div w:id="18633560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05940056">
      <w:bodyDiv w:val="1"/>
      <w:marLeft w:val="0"/>
      <w:marRight w:val="0"/>
      <w:marTop w:val="0"/>
      <w:marBottom w:val="0"/>
      <w:divBdr>
        <w:top w:val="none" w:sz="0" w:space="0" w:color="auto"/>
        <w:left w:val="none" w:sz="0" w:space="0" w:color="auto"/>
        <w:bottom w:val="none" w:sz="0" w:space="0" w:color="auto"/>
        <w:right w:val="none" w:sz="0" w:space="0" w:color="auto"/>
      </w:divBdr>
      <w:divsChild>
        <w:div w:id="444472055">
          <w:marLeft w:val="0"/>
          <w:marRight w:val="0"/>
          <w:marTop w:val="0"/>
          <w:marBottom w:val="240"/>
          <w:divBdr>
            <w:top w:val="none" w:sz="0" w:space="0" w:color="auto"/>
            <w:left w:val="none" w:sz="0" w:space="0" w:color="auto"/>
            <w:bottom w:val="none" w:sz="0" w:space="0" w:color="auto"/>
            <w:right w:val="none" w:sz="0" w:space="0" w:color="auto"/>
          </w:divBdr>
          <w:divsChild>
            <w:div w:id="128765691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27487171">
      <w:bodyDiv w:val="1"/>
      <w:marLeft w:val="0"/>
      <w:marRight w:val="0"/>
      <w:marTop w:val="0"/>
      <w:marBottom w:val="0"/>
      <w:divBdr>
        <w:top w:val="none" w:sz="0" w:space="0" w:color="auto"/>
        <w:left w:val="none" w:sz="0" w:space="0" w:color="auto"/>
        <w:bottom w:val="none" w:sz="0" w:space="0" w:color="auto"/>
        <w:right w:val="none" w:sz="0" w:space="0" w:color="auto"/>
      </w:divBdr>
      <w:divsChild>
        <w:div w:id="340159000">
          <w:marLeft w:val="0"/>
          <w:marRight w:val="0"/>
          <w:marTop w:val="72"/>
          <w:marBottom w:val="0"/>
          <w:divBdr>
            <w:top w:val="none" w:sz="0" w:space="0" w:color="auto"/>
            <w:left w:val="none" w:sz="0" w:space="0" w:color="auto"/>
            <w:bottom w:val="none" w:sz="0" w:space="0" w:color="auto"/>
            <w:right w:val="none" w:sz="0" w:space="0" w:color="auto"/>
          </w:divBdr>
        </w:div>
        <w:div w:id="431630840">
          <w:marLeft w:val="0"/>
          <w:marRight w:val="0"/>
          <w:marTop w:val="72"/>
          <w:marBottom w:val="0"/>
          <w:divBdr>
            <w:top w:val="none" w:sz="0" w:space="0" w:color="auto"/>
            <w:left w:val="none" w:sz="0" w:space="0" w:color="auto"/>
            <w:bottom w:val="none" w:sz="0" w:space="0" w:color="auto"/>
            <w:right w:val="none" w:sz="0" w:space="0" w:color="auto"/>
          </w:divBdr>
          <w:divsChild>
            <w:div w:id="9744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453917">
      <w:bodyDiv w:val="1"/>
      <w:marLeft w:val="0"/>
      <w:marRight w:val="0"/>
      <w:marTop w:val="0"/>
      <w:marBottom w:val="0"/>
      <w:divBdr>
        <w:top w:val="none" w:sz="0" w:space="0" w:color="auto"/>
        <w:left w:val="none" w:sz="0" w:space="0" w:color="auto"/>
        <w:bottom w:val="none" w:sz="0" w:space="0" w:color="auto"/>
        <w:right w:val="none" w:sz="0" w:space="0" w:color="auto"/>
      </w:divBdr>
    </w:div>
    <w:div w:id="336426463">
      <w:bodyDiv w:val="1"/>
      <w:marLeft w:val="0"/>
      <w:marRight w:val="0"/>
      <w:marTop w:val="0"/>
      <w:marBottom w:val="0"/>
      <w:divBdr>
        <w:top w:val="none" w:sz="0" w:space="0" w:color="auto"/>
        <w:left w:val="none" w:sz="0" w:space="0" w:color="auto"/>
        <w:bottom w:val="none" w:sz="0" w:space="0" w:color="auto"/>
        <w:right w:val="none" w:sz="0" w:space="0" w:color="auto"/>
      </w:divBdr>
      <w:divsChild>
        <w:div w:id="1499535682">
          <w:marLeft w:val="0"/>
          <w:marRight w:val="0"/>
          <w:marTop w:val="72"/>
          <w:marBottom w:val="0"/>
          <w:divBdr>
            <w:top w:val="none" w:sz="0" w:space="0" w:color="auto"/>
            <w:left w:val="none" w:sz="0" w:space="0" w:color="auto"/>
            <w:bottom w:val="none" w:sz="0" w:space="0" w:color="auto"/>
            <w:right w:val="none" w:sz="0" w:space="0" w:color="auto"/>
          </w:divBdr>
        </w:div>
      </w:divsChild>
    </w:div>
    <w:div w:id="349726584">
      <w:bodyDiv w:val="1"/>
      <w:marLeft w:val="0"/>
      <w:marRight w:val="0"/>
      <w:marTop w:val="0"/>
      <w:marBottom w:val="0"/>
      <w:divBdr>
        <w:top w:val="none" w:sz="0" w:space="0" w:color="auto"/>
        <w:left w:val="none" w:sz="0" w:space="0" w:color="auto"/>
        <w:bottom w:val="none" w:sz="0" w:space="0" w:color="auto"/>
        <w:right w:val="none" w:sz="0" w:space="0" w:color="auto"/>
      </w:divBdr>
      <w:divsChild>
        <w:div w:id="950821808">
          <w:marLeft w:val="0"/>
          <w:marRight w:val="0"/>
          <w:marTop w:val="72"/>
          <w:marBottom w:val="0"/>
          <w:divBdr>
            <w:top w:val="none" w:sz="0" w:space="0" w:color="auto"/>
            <w:left w:val="none" w:sz="0" w:space="0" w:color="auto"/>
            <w:bottom w:val="none" w:sz="0" w:space="0" w:color="auto"/>
            <w:right w:val="none" w:sz="0" w:space="0" w:color="auto"/>
          </w:divBdr>
          <w:divsChild>
            <w:div w:id="113408891">
              <w:marLeft w:val="0"/>
              <w:marRight w:val="0"/>
              <w:marTop w:val="0"/>
              <w:marBottom w:val="0"/>
              <w:divBdr>
                <w:top w:val="none" w:sz="0" w:space="0" w:color="auto"/>
                <w:left w:val="none" w:sz="0" w:space="0" w:color="auto"/>
                <w:bottom w:val="none" w:sz="0" w:space="0" w:color="auto"/>
                <w:right w:val="none" w:sz="0" w:space="0" w:color="auto"/>
              </w:divBdr>
            </w:div>
          </w:divsChild>
        </w:div>
        <w:div w:id="1495224193">
          <w:marLeft w:val="0"/>
          <w:marRight w:val="0"/>
          <w:marTop w:val="72"/>
          <w:marBottom w:val="0"/>
          <w:divBdr>
            <w:top w:val="none" w:sz="0" w:space="0" w:color="auto"/>
            <w:left w:val="none" w:sz="0" w:space="0" w:color="auto"/>
            <w:bottom w:val="none" w:sz="0" w:space="0" w:color="auto"/>
            <w:right w:val="none" w:sz="0" w:space="0" w:color="auto"/>
          </w:divBdr>
          <w:divsChild>
            <w:div w:id="1398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43424">
      <w:bodyDiv w:val="1"/>
      <w:marLeft w:val="0"/>
      <w:marRight w:val="0"/>
      <w:marTop w:val="0"/>
      <w:marBottom w:val="0"/>
      <w:divBdr>
        <w:top w:val="none" w:sz="0" w:space="0" w:color="auto"/>
        <w:left w:val="none" w:sz="0" w:space="0" w:color="auto"/>
        <w:bottom w:val="none" w:sz="0" w:space="0" w:color="auto"/>
        <w:right w:val="none" w:sz="0" w:space="0" w:color="auto"/>
      </w:divBdr>
      <w:divsChild>
        <w:div w:id="118231222">
          <w:marLeft w:val="0"/>
          <w:marRight w:val="0"/>
          <w:marTop w:val="72"/>
          <w:marBottom w:val="0"/>
          <w:divBdr>
            <w:top w:val="none" w:sz="0" w:space="0" w:color="auto"/>
            <w:left w:val="none" w:sz="0" w:space="0" w:color="auto"/>
            <w:bottom w:val="none" w:sz="0" w:space="0" w:color="auto"/>
            <w:right w:val="none" w:sz="0" w:space="0" w:color="auto"/>
          </w:divBdr>
        </w:div>
      </w:divsChild>
    </w:div>
    <w:div w:id="357463914">
      <w:bodyDiv w:val="1"/>
      <w:marLeft w:val="0"/>
      <w:marRight w:val="0"/>
      <w:marTop w:val="0"/>
      <w:marBottom w:val="0"/>
      <w:divBdr>
        <w:top w:val="none" w:sz="0" w:space="0" w:color="auto"/>
        <w:left w:val="none" w:sz="0" w:space="0" w:color="auto"/>
        <w:bottom w:val="none" w:sz="0" w:space="0" w:color="auto"/>
        <w:right w:val="none" w:sz="0" w:space="0" w:color="auto"/>
      </w:divBdr>
      <w:divsChild>
        <w:div w:id="1733233268">
          <w:marLeft w:val="0"/>
          <w:marRight w:val="0"/>
          <w:marTop w:val="0"/>
          <w:marBottom w:val="240"/>
          <w:divBdr>
            <w:top w:val="none" w:sz="0" w:space="0" w:color="auto"/>
            <w:left w:val="none" w:sz="0" w:space="0" w:color="auto"/>
            <w:bottom w:val="none" w:sz="0" w:space="0" w:color="auto"/>
            <w:right w:val="none" w:sz="0" w:space="0" w:color="auto"/>
          </w:divBdr>
          <w:divsChild>
            <w:div w:id="23528846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82489182">
      <w:bodyDiv w:val="1"/>
      <w:marLeft w:val="0"/>
      <w:marRight w:val="0"/>
      <w:marTop w:val="0"/>
      <w:marBottom w:val="0"/>
      <w:divBdr>
        <w:top w:val="none" w:sz="0" w:space="0" w:color="auto"/>
        <w:left w:val="none" w:sz="0" w:space="0" w:color="auto"/>
        <w:bottom w:val="none" w:sz="0" w:space="0" w:color="auto"/>
        <w:right w:val="none" w:sz="0" w:space="0" w:color="auto"/>
      </w:divBdr>
      <w:divsChild>
        <w:div w:id="1815024311">
          <w:marLeft w:val="0"/>
          <w:marRight w:val="0"/>
          <w:marTop w:val="72"/>
          <w:marBottom w:val="0"/>
          <w:divBdr>
            <w:top w:val="none" w:sz="0" w:space="0" w:color="auto"/>
            <w:left w:val="none" w:sz="0" w:space="0" w:color="auto"/>
            <w:bottom w:val="none" w:sz="0" w:space="0" w:color="auto"/>
            <w:right w:val="none" w:sz="0" w:space="0" w:color="auto"/>
          </w:divBdr>
          <w:divsChild>
            <w:div w:id="1715691339">
              <w:marLeft w:val="0"/>
              <w:marRight w:val="0"/>
              <w:marTop w:val="0"/>
              <w:marBottom w:val="0"/>
              <w:divBdr>
                <w:top w:val="none" w:sz="0" w:space="0" w:color="auto"/>
                <w:left w:val="none" w:sz="0" w:space="0" w:color="auto"/>
                <w:bottom w:val="none" w:sz="0" w:space="0" w:color="auto"/>
                <w:right w:val="none" w:sz="0" w:space="0" w:color="auto"/>
              </w:divBdr>
            </w:div>
          </w:divsChild>
        </w:div>
        <w:div w:id="751706732">
          <w:marLeft w:val="0"/>
          <w:marRight w:val="0"/>
          <w:marTop w:val="72"/>
          <w:marBottom w:val="0"/>
          <w:divBdr>
            <w:top w:val="none" w:sz="0" w:space="0" w:color="auto"/>
            <w:left w:val="none" w:sz="0" w:space="0" w:color="auto"/>
            <w:bottom w:val="none" w:sz="0" w:space="0" w:color="auto"/>
            <w:right w:val="none" w:sz="0" w:space="0" w:color="auto"/>
          </w:divBdr>
          <w:divsChild>
            <w:div w:id="2613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16793">
      <w:bodyDiv w:val="1"/>
      <w:marLeft w:val="0"/>
      <w:marRight w:val="0"/>
      <w:marTop w:val="0"/>
      <w:marBottom w:val="0"/>
      <w:divBdr>
        <w:top w:val="none" w:sz="0" w:space="0" w:color="auto"/>
        <w:left w:val="none" w:sz="0" w:space="0" w:color="auto"/>
        <w:bottom w:val="none" w:sz="0" w:space="0" w:color="auto"/>
        <w:right w:val="none" w:sz="0" w:space="0" w:color="auto"/>
      </w:divBdr>
      <w:divsChild>
        <w:div w:id="139621647">
          <w:marLeft w:val="0"/>
          <w:marRight w:val="0"/>
          <w:marTop w:val="72"/>
          <w:marBottom w:val="0"/>
          <w:divBdr>
            <w:top w:val="none" w:sz="0" w:space="0" w:color="auto"/>
            <w:left w:val="none" w:sz="0" w:space="0" w:color="auto"/>
            <w:bottom w:val="none" w:sz="0" w:space="0" w:color="auto"/>
            <w:right w:val="none" w:sz="0" w:space="0" w:color="auto"/>
          </w:divBdr>
          <w:divsChild>
            <w:div w:id="1857230940">
              <w:marLeft w:val="0"/>
              <w:marRight w:val="0"/>
              <w:marTop w:val="0"/>
              <w:marBottom w:val="0"/>
              <w:divBdr>
                <w:top w:val="none" w:sz="0" w:space="0" w:color="auto"/>
                <w:left w:val="none" w:sz="0" w:space="0" w:color="auto"/>
                <w:bottom w:val="none" w:sz="0" w:space="0" w:color="auto"/>
                <w:right w:val="none" w:sz="0" w:space="0" w:color="auto"/>
              </w:divBdr>
            </w:div>
          </w:divsChild>
        </w:div>
        <w:div w:id="505481878">
          <w:marLeft w:val="0"/>
          <w:marRight w:val="0"/>
          <w:marTop w:val="72"/>
          <w:marBottom w:val="0"/>
          <w:divBdr>
            <w:top w:val="none" w:sz="0" w:space="0" w:color="auto"/>
            <w:left w:val="none" w:sz="0" w:space="0" w:color="auto"/>
            <w:bottom w:val="none" w:sz="0" w:space="0" w:color="auto"/>
            <w:right w:val="none" w:sz="0" w:space="0" w:color="auto"/>
          </w:divBdr>
          <w:divsChild>
            <w:div w:id="15114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5410">
      <w:bodyDiv w:val="1"/>
      <w:marLeft w:val="0"/>
      <w:marRight w:val="0"/>
      <w:marTop w:val="0"/>
      <w:marBottom w:val="0"/>
      <w:divBdr>
        <w:top w:val="none" w:sz="0" w:space="0" w:color="auto"/>
        <w:left w:val="none" w:sz="0" w:space="0" w:color="auto"/>
        <w:bottom w:val="none" w:sz="0" w:space="0" w:color="auto"/>
        <w:right w:val="none" w:sz="0" w:space="0" w:color="auto"/>
      </w:divBdr>
      <w:divsChild>
        <w:div w:id="1890846953">
          <w:marLeft w:val="0"/>
          <w:marRight w:val="0"/>
          <w:marTop w:val="72"/>
          <w:marBottom w:val="0"/>
          <w:divBdr>
            <w:top w:val="none" w:sz="0" w:space="0" w:color="auto"/>
            <w:left w:val="none" w:sz="0" w:space="0" w:color="auto"/>
            <w:bottom w:val="none" w:sz="0" w:space="0" w:color="auto"/>
            <w:right w:val="none" w:sz="0" w:space="0" w:color="auto"/>
          </w:divBdr>
        </w:div>
        <w:div w:id="1236472527">
          <w:marLeft w:val="0"/>
          <w:marRight w:val="0"/>
          <w:marTop w:val="72"/>
          <w:marBottom w:val="0"/>
          <w:divBdr>
            <w:top w:val="none" w:sz="0" w:space="0" w:color="auto"/>
            <w:left w:val="none" w:sz="0" w:space="0" w:color="auto"/>
            <w:bottom w:val="none" w:sz="0" w:space="0" w:color="auto"/>
            <w:right w:val="none" w:sz="0" w:space="0" w:color="auto"/>
          </w:divBdr>
          <w:divsChild>
            <w:div w:id="128962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23402">
      <w:bodyDiv w:val="1"/>
      <w:marLeft w:val="0"/>
      <w:marRight w:val="0"/>
      <w:marTop w:val="0"/>
      <w:marBottom w:val="0"/>
      <w:divBdr>
        <w:top w:val="none" w:sz="0" w:space="0" w:color="auto"/>
        <w:left w:val="none" w:sz="0" w:space="0" w:color="auto"/>
        <w:bottom w:val="none" w:sz="0" w:space="0" w:color="auto"/>
        <w:right w:val="none" w:sz="0" w:space="0" w:color="auto"/>
      </w:divBdr>
      <w:divsChild>
        <w:div w:id="1638677882">
          <w:marLeft w:val="0"/>
          <w:marRight w:val="0"/>
          <w:marTop w:val="72"/>
          <w:marBottom w:val="0"/>
          <w:divBdr>
            <w:top w:val="none" w:sz="0" w:space="0" w:color="auto"/>
            <w:left w:val="none" w:sz="0" w:space="0" w:color="auto"/>
            <w:bottom w:val="none" w:sz="0" w:space="0" w:color="auto"/>
            <w:right w:val="none" w:sz="0" w:space="0" w:color="auto"/>
          </w:divBdr>
        </w:div>
      </w:divsChild>
    </w:div>
    <w:div w:id="458185366">
      <w:bodyDiv w:val="1"/>
      <w:marLeft w:val="0"/>
      <w:marRight w:val="0"/>
      <w:marTop w:val="0"/>
      <w:marBottom w:val="0"/>
      <w:divBdr>
        <w:top w:val="none" w:sz="0" w:space="0" w:color="auto"/>
        <w:left w:val="none" w:sz="0" w:space="0" w:color="auto"/>
        <w:bottom w:val="none" w:sz="0" w:space="0" w:color="auto"/>
        <w:right w:val="none" w:sz="0" w:space="0" w:color="auto"/>
      </w:divBdr>
      <w:divsChild>
        <w:div w:id="1513840063">
          <w:marLeft w:val="0"/>
          <w:marRight w:val="0"/>
          <w:marTop w:val="0"/>
          <w:marBottom w:val="240"/>
          <w:divBdr>
            <w:top w:val="none" w:sz="0" w:space="0" w:color="auto"/>
            <w:left w:val="none" w:sz="0" w:space="0" w:color="auto"/>
            <w:bottom w:val="none" w:sz="0" w:space="0" w:color="auto"/>
            <w:right w:val="none" w:sz="0" w:space="0" w:color="auto"/>
          </w:divBdr>
        </w:div>
      </w:divsChild>
    </w:div>
    <w:div w:id="481778887">
      <w:bodyDiv w:val="1"/>
      <w:marLeft w:val="0"/>
      <w:marRight w:val="0"/>
      <w:marTop w:val="0"/>
      <w:marBottom w:val="0"/>
      <w:divBdr>
        <w:top w:val="none" w:sz="0" w:space="0" w:color="auto"/>
        <w:left w:val="none" w:sz="0" w:space="0" w:color="auto"/>
        <w:bottom w:val="none" w:sz="0" w:space="0" w:color="auto"/>
        <w:right w:val="none" w:sz="0" w:space="0" w:color="auto"/>
      </w:divBdr>
      <w:divsChild>
        <w:div w:id="1189678819">
          <w:marLeft w:val="0"/>
          <w:marRight w:val="0"/>
          <w:marTop w:val="0"/>
          <w:marBottom w:val="240"/>
          <w:divBdr>
            <w:top w:val="none" w:sz="0" w:space="0" w:color="auto"/>
            <w:left w:val="none" w:sz="0" w:space="0" w:color="auto"/>
            <w:bottom w:val="none" w:sz="0" w:space="0" w:color="auto"/>
            <w:right w:val="none" w:sz="0" w:space="0" w:color="auto"/>
          </w:divBdr>
        </w:div>
      </w:divsChild>
    </w:div>
    <w:div w:id="500387399">
      <w:bodyDiv w:val="1"/>
      <w:marLeft w:val="0"/>
      <w:marRight w:val="0"/>
      <w:marTop w:val="0"/>
      <w:marBottom w:val="0"/>
      <w:divBdr>
        <w:top w:val="none" w:sz="0" w:space="0" w:color="auto"/>
        <w:left w:val="none" w:sz="0" w:space="0" w:color="auto"/>
        <w:bottom w:val="none" w:sz="0" w:space="0" w:color="auto"/>
        <w:right w:val="none" w:sz="0" w:space="0" w:color="auto"/>
      </w:divBdr>
      <w:divsChild>
        <w:div w:id="586497483">
          <w:marLeft w:val="0"/>
          <w:marRight w:val="0"/>
          <w:marTop w:val="72"/>
          <w:marBottom w:val="0"/>
          <w:divBdr>
            <w:top w:val="none" w:sz="0" w:space="0" w:color="auto"/>
            <w:left w:val="none" w:sz="0" w:space="0" w:color="auto"/>
            <w:bottom w:val="none" w:sz="0" w:space="0" w:color="auto"/>
            <w:right w:val="none" w:sz="0" w:space="0" w:color="auto"/>
          </w:divBdr>
        </w:div>
      </w:divsChild>
    </w:div>
    <w:div w:id="519507569">
      <w:bodyDiv w:val="1"/>
      <w:marLeft w:val="0"/>
      <w:marRight w:val="0"/>
      <w:marTop w:val="0"/>
      <w:marBottom w:val="0"/>
      <w:divBdr>
        <w:top w:val="none" w:sz="0" w:space="0" w:color="auto"/>
        <w:left w:val="none" w:sz="0" w:space="0" w:color="auto"/>
        <w:bottom w:val="none" w:sz="0" w:space="0" w:color="auto"/>
        <w:right w:val="none" w:sz="0" w:space="0" w:color="auto"/>
      </w:divBdr>
      <w:divsChild>
        <w:div w:id="978806634">
          <w:marLeft w:val="0"/>
          <w:marRight w:val="0"/>
          <w:marTop w:val="0"/>
          <w:marBottom w:val="240"/>
          <w:divBdr>
            <w:top w:val="none" w:sz="0" w:space="0" w:color="auto"/>
            <w:left w:val="none" w:sz="0" w:space="0" w:color="auto"/>
            <w:bottom w:val="none" w:sz="0" w:space="0" w:color="auto"/>
            <w:right w:val="none" w:sz="0" w:space="0" w:color="auto"/>
          </w:divBdr>
          <w:divsChild>
            <w:div w:id="819082312">
              <w:marLeft w:val="0"/>
              <w:marRight w:val="0"/>
              <w:marTop w:val="0"/>
              <w:marBottom w:val="0"/>
              <w:divBdr>
                <w:top w:val="none" w:sz="0" w:space="0" w:color="auto"/>
                <w:left w:val="none" w:sz="0" w:space="0" w:color="auto"/>
                <w:bottom w:val="none" w:sz="0" w:space="0" w:color="auto"/>
                <w:right w:val="none" w:sz="0" w:space="0" w:color="auto"/>
              </w:divBdr>
            </w:div>
            <w:div w:id="1966228228">
              <w:marLeft w:val="0"/>
              <w:marRight w:val="0"/>
              <w:marTop w:val="72"/>
              <w:marBottom w:val="0"/>
              <w:divBdr>
                <w:top w:val="none" w:sz="0" w:space="0" w:color="auto"/>
                <w:left w:val="none" w:sz="0" w:space="0" w:color="auto"/>
                <w:bottom w:val="none" w:sz="0" w:space="0" w:color="auto"/>
                <w:right w:val="none" w:sz="0" w:space="0" w:color="auto"/>
              </w:divBdr>
              <w:divsChild>
                <w:div w:id="910508977">
                  <w:marLeft w:val="0"/>
                  <w:marRight w:val="0"/>
                  <w:marTop w:val="0"/>
                  <w:marBottom w:val="0"/>
                  <w:divBdr>
                    <w:top w:val="none" w:sz="0" w:space="0" w:color="auto"/>
                    <w:left w:val="none" w:sz="0" w:space="0" w:color="auto"/>
                    <w:bottom w:val="none" w:sz="0" w:space="0" w:color="auto"/>
                    <w:right w:val="none" w:sz="0" w:space="0" w:color="auto"/>
                  </w:divBdr>
                </w:div>
              </w:divsChild>
            </w:div>
            <w:div w:id="108205190">
              <w:marLeft w:val="0"/>
              <w:marRight w:val="0"/>
              <w:marTop w:val="72"/>
              <w:marBottom w:val="0"/>
              <w:divBdr>
                <w:top w:val="none" w:sz="0" w:space="0" w:color="auto"/>
                <w:left w:val="none" w:sz="0" w:space="0" w:color="auto"/>
                <w:bottom w:val="none" w:sz="0" w:space="0" w:color="auto"/>
                <w:right w:val="none" w:sz="0" w:space="0" w:color="auto"/>
              </w:divBdr>
              <w:divsChild>
                <w:div w:id="277568495">
                  <w:marLeft w:val="0"/>
                  <w:marRight w:val="0"/>
                  <w:marTop w:val="0"/>
                  <w:marBottom w:val="0"/>
                  <w:divBdr>
                    <w:top w:val="none" w:sz="0" w:space="0" w:color="auto"/>
                    <w:left w:val="none" w:sz="0" w:space="0" w:color="auto"/>
                    <w:bottom w:val="none" w:sz="0" w:space="0" w:color="auto"/>
                    <w:right w:val="none" w:sz="0" w:space="0" w:color="auto"/>
                  </w:divBdr>
                </w:div>
              </w:divsChild>
            </w:div>
            <w:div w:id="1397584789">
              <w:marLeft w:val="0"/>
              <w:marRight w:val="0"/>
              <w:marTop w:val="72"/>
              <w:marBottom w:val="0"/>
              <w:divBdr>
                <w:top w:val="none" w:sz="0" w:space="0" w:color="auto"/>
                <w:left w:val="none" w:sz="0" w:space="0" w:color="auto"/>
                <w:bottom w:val="none" w:sz="0" w:space="0" w:color="auto"/>
                <w:right w:val="none" w:sz="0" w:space="0" w:color="auto"/>
              </w:divBdr>
              <w:divsChild>
                <w:div w:id="196256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65346">
          <w:marLeft w:val="0"/>
          <w:marRight w:val="0"/>
          <w:marTop w:val="0"/>
          <w:marBottom w:val="240"/>
          <w:divBdr>
            <w:top w:val="none" w:sz="0" w:space="0" w:color="auto"/>
            <w:left w:val="none" w:sz="0" w:space="0" w:color="auto"/>
            <w:bottom w:val="none" w:sz="0" w:space="0" w:color="auto"/>
            <w:right w:val="none" w:sz="0" w:space="0" w:color="auto"/>
          </w:divBdr>
          <w:divsChild>
            <w:div w:id="1663895866">
              <w:marLeft w:val="0"/>
              <w:marRight w:val="0"/>
              <w:marTop w:val="0"/>
              <w:marBottom w:val="0"/>
              <w:divBdr>
                <w:top w:val="none" w:sz="0" w:space="0" w:color="auto"/>
                <w:left w:val="none" w:sz="0" w:space="0" w:color="auto"/>
                <w:bottom w:val="none" w:sz="0" w:space="0" w:color="auto"/>
                <w:right w:val="none" w:sz="0" w:space="0" w:color="auto"/>
              </w:divBdr>
            </w:div>
            <w:div w:id="933591434">
              <w:marLeft w:val="0"/>
              <w:marRight w:val="0"/>
              <w:marTop w:val="72"/>
              <w:marBottom w:val="0"/>
              <w:divBdr>
                <w:top w:val="none" w:sz="0" w:space="0" w:color="auto"/>
                <w:left w:val="none" w:sz="0" w:space="0" w:color="auto"/>
                <w:bottom w:val="none" w:sz="0" w:space="0" w:color="auto"/>
                <w:right w:val="none" w:sz="0" w:space="0" w:color="auto"/>
              </w:divBdr>
              <w:divsChild>
                <w:div w:id="31542599">
                  <w:marLeft w:val="0"/>
                  <w:marRight w:val="0"/>
                  <w:marTop w:val="0"/>
                  <w:marBottom w:val="0"/>
                  <w:divBdr>
                    <w:top w:val="none" w:sz="0" w:space="0" w:color="auto"/>
                    <w:left w:val="none" w:sz="0" w:space="0" w:color="auto"/>
                    <w:bottom w:val="none" w:sz="0" w:space="0" w:color="auto"/>
                    <w:right w:val="none" w:sz="0" w:space="0" w:color="auto"/>
                  </w:divBdr>
                </w:div>
              </w:divsChild>
            </w:div>
            <w:div w:id="1160733119">
              <w:marLeft w:val="0"/>
              <w:marRight w:val="0"/>
              <w:marTop w:val="72"/>
              <w:marBottom w:val="0"/>
              <w:divBdr>
                <w:top w:val="none" w:sz="0" w:space="0" w:color="auto"/>
                <w:left w:val="none" w:sz="0" w:space="0" w:color="auto"/>
                <w:bottom w:val="none" w:sz="0" w:space="0" w:color="auto"/>
                <w:right w:val="none" w:sz="0" w:space="0" w:color="auto"/>
              </w:divBdr>
              <w:divsChild>
                <w:div w:id="1354846055">
                  <w:marLeft w:val="0"/>
                  <w:marRight w:val="0"/>
                  <w:marTop w:val="0"/>
                  <w:marBottom w:val="0"/>
                  <w:divBdr>
                    <w:top w:val="none" w:sz="0" w:space="0" w:color="auto"/>
                    <w:left w:val="none" w:sz="0" w:space="0" w:color="auto"/>
                    <w:bottom w:val="none" w:sz="0" w:space="0" w:color="auto"/>
                    <w:right w:val="none" w:sz="0" w:space="0" w:color="auto"/>
                  </w:divBdr>
                </w:div>
              </w:divsChild>
            </w:div>
            <w:div w:id="1044603895">
              <w:marLeft w:val="0"/>
              <w:marRight w:val="0"/>
              <w:marTop w:val="72"/>
              <w:marBottom w:val="0"/>
              <w:divBdr>
                <w:top w:val="none" w:sz="0" w:space="0" w:color="auto"/>
                <w:left w:val="none" w:sz="0" w:space="0" w:color="auto"/>
                <w:bottom w:val="none" w:sz="0" w:space="0" w:color="auto"/>
                <w:right w:val="none" w:sz="0" w:space="0" w:color="auto"/>
              </w:divBdr>
              <w:divsChild>
                <w:div w:id="164975390">
                  <w:marLeft w:val="0"/>
                  <w:marRight w:val="0"/>
                  <w:marTop w:val="0"/>
                  <w:marBottom w:val="0"/>
                  <w:divBdr>
                    <w:top w:val="none" w:sz="0" w:space="0" w:color="auto"/>
                    <w:left w:val="none" w:sz="0" w:space="0" w:color="auto"/>
                    <w:bottom w:val="none" w:sz="0" w:space="0" w:color="auto"/>
                    <w:right w:val="none" w:sz="0" w:space="0" w:color="auto"/>
                  </w:divBdr>
                </w:div>
              </w:divsChild>
            </w:div>
            <w:div w:id="594705961">
              <w:marLeft w:val="0"/>
              <w:marRight w:val="0"/>
              <w:marTop w:val="72"/>
              <w:marBottom w:val="0"/>
              <w:divBdr>
                <w:top w:val="none" w:sz="0" w:space="0" w:color="auto"/>
                <w:left w:val="none" w:sz="0" w:space="0" w:color="auto"/>
                <w:bottom w:val="none" w:sz="0" w:space="0" w:color="auto"/>
                <w:right w:val="none" w:sz="0" w:space="0" w:color="auto"/>
              </w:divBdr>
              <w:divsChild>
                <w:div w:id="801270495">
                  <w:marLeft w:val="0"/>
                  <w:marRight w:val="0"/>
                  <w:marTop w:val="0"/>
                  <w:marBottom w:val="0"/>
                  <w:divBdr>
                    <w:top w:val="none" w:sz="0" w:space="0" w:color="auto"/>
                    <w:left w:val="none" w:sz="0" w:space="0" w:color="auto"/>
                    <w:bottom w:val="none" w:sz="0" w:space="0" w:color="auto"/>
                    <w:right w:val="none" w:sz="0" w:space="0" w:color="auto"/>
                  </w:divBdr>
                </w:div>
              </w:divsChild>
            </w:div>
            <w:div w:id="981081070">
              <w:marLeft w:val="0"/>
              <w:marRight w:val="0"/>
              <w:marTop w:val="72"/>
              <w:marBottom w:val="0"/>
              <w:divBdr>
                <w:top w:val="none" w:sz="0" w:space="0" w:color="auto"/>
                <w:left w:val="none" w:sz="0" w:space="0" w:color="auto"/>
                <w:bottom w:val="none" w:sz="0" w:space="0" w:color="auto"/>
                <w:right w:val="none" w:sz="0" w:space="0" w:color="auto"/>
              </w:divBdr>
              <w:divsChild>
                <w:div w:id="93475023">
                  <w:marLeft w:val="0"/>
                  <w:marRight w:val="0"/>
                  <w:marTop w:val="0"/>
                  <w:marBottom w:val="0"/>
                  <w:divBdr>
                    <w:top w:val="none" w:sz="0" w:space="0" w:color="auto"/>
                    <w:left w:val="none" w:sz="0" w:space="0" w:color="auto"/>
                    <w:bottom w:val="none" w:sz="0" w:space="0" w:color="auto"/>
                    <w:right w:val="none" w:sz="0" w:space="0" w:color="auto"/>
                  </w:divBdr>
                </w:div>
              </w:divsChild>
            </w:div>
            <w:div w:id="900824003">
              <w:marLeft w:val="0"/>
              <w:marRight w:val="0"/>
              <w:marTop w:val="72"/>
              <w:marBottom w:val="0"/>
              <w:divBdr>
                <w:top w:val="none" w:sz="0" w:space="0" w:color="auto"/>
                <w:left w:val="none" w:sz="0" w:space="0" w:color="auto"/>
                <w:bottom w:val="none" w:sz="0" w:space="0" w:color="auto"/>
                <w:right w:val="none" w:sz="0" w:space="0" w:color="auto"/>
              </w:divBdr>
              <w:divsChild>
                <w:div w:id="245918363">
                  <w:marLeft w:val="0"/>
                  <w:marRight w:val="0"/>
                  <w:marTop w:val="0"/>
                  <w:marBottom w:val="0"/>
                  <w:divBdr>
                    <w:top w:val="none" w:sz="0" w:space="0" w:color="auto"/>
                    <w:left w:val="none" w:sz="0" w:space="0" w:color="auto"/>
                    <w:bottom w:val="none" w:sz="0" w:space="0" w:color="auto"/>
                    <w:right w:val="none" w:sz="0" w:space="0" w:color="auto"/>
                  </w:divBdr>
                </w:div>
                <w:div w:id="1074745056">
                  <w:marLeft w:val="360"/>
                  <w:marRight w:val="0"/>
                  <w:marTop w:val="72"/>
                  <w:marBottom w:val="72"/>
                  <w:divBdr>
                    <w:top w:val="none" w:sz="0" w:space="0" w:color="auto"/>
                    <w:left w:val="none" w:sz="0" w:space="0" w:color="auto"/>
                    <w:bottom w:val="none" w:sz="0" w:space="0" w:color="auto"/>
                    <w:right w:val="none" w:sz="0" w:space="0" w:color="auto"/>
                  </w:divBdr>
                  <w:divsChild>
                    <w:div w:id="1910533713">
                      <w:marLeft w:val="0"/>
                      <w:marRight w:val="0"/>
                      <w:marTop w:val="0"/>
                      <w:marBottom w:val="0"/>
                      <w:divBdr>
                        <w:top w:val="none" w:sz="0" w:space="0" w:color="auto"/>
                        <w:left w:val="none" w:sz="0" w:space="0" w:color="auto"/>
                        <w:bottom w:val="none" w:sz="0" w:space="0" w:color="auto"/>
                        <w:right w:val="none" w:sz="0" w:space="0" w:color="auto"/>
                      </w:divBdr>
                    </w:div>
                  </w:divsChild>
                </w:div>
                <w:div w:id="1426344010">
                  <w:marLeft w:val="360"/>
                  <w:marRight w:val="0"/>
                  <w:marTop w:val="0"/>
                  <w:marBottom w:val="72"/>
                  <w:divBdr>
                    <w:top w:val="none" w:sz="0" w:space="0" w:color="auto"/>
                    <w:left w:val="none" w:sz="0" w:space="0" w:color="auto"/>
                    <w:bottom w:val="none" w:sz="0" w:space="0" w:color="auto"/>
                    <w:right w:val="none" w:sz="0" w:space="0" w:color="auto"/>
                  </w:divBdr>
                  <w:divsChild>
                    <w:div w:id="317810684">
                      <w:marLeft w:val="0"/>
                      <w:marRight w:val="0"/>
                      <w:marTop w:val="0"/>
                      <w:marBottom w:val="0"/>
                      <w:divBdr>
                        <w:top w:val="none" w:sz="0" w:space="0" w:color="auto"/>
                        <w:left w:val="none" w:sz="0" w:space="0" w:color="auto"/>
                        <w:bottom w:val="none" w:sz="0" w:space="0" w:color="auto"/>
                        <w:right w:val="none" w:sz="0" w:space="0" w:color="auto"/>
                      </w:divBdr>
                    </w:div>
                  </w:divsChild>
                </w:div>
                <w:div w:id="2023586189">
                  <w:marLeft w:val="360"/>
                  <w:marRight w:val="0"/>
                  <w:marTop w:val="0"/>
                  <w:marBottom w:val="72"/>
                  <w:divBdr>
                    <w:top w:val="none" w:sz="0" w:space="0" w:color="auto"/>
                    <w:left w:val="none" w:sz="0" w:space="0" w:color="auto"/>
                    <w:bottom w:val="none" w:sz="0" w:space="0" w:color="auto"/>
                    <w:right w:val="none" w:sz="0" w:space="0" w:color="auto"/>
                  </w:divBdr>
                  <w:divsChild>
                    <w:div w:id="1424298932">
                      <w:marLeft w:val="0"/>
                      <w:marRight w:val="0"/>
                      <w:marTop w:val="0"/>
                      <w:marBottom w:val="0"/>
                      <w:divBdr>
                        <w:top w:val="none" w:sz="0" w:space="0" w:color="auto"/>
                        <w:left w:val="none" w:sz="0" w:space="0" w:color="auto"/>
                        <w:bottom w:val="none" w:sz="0" w:space="0" w:color="auto"/>
                        <w:right w:val="none" w:sz="0" w:space="0" w:color="auto"/>
                      </w:divBdr>
                    </w:div>
                  </w:divsChild>
                </w:div>
                <w:div w:id="1214850832">
                  <w:marLeft w:val="360"/>
                  <w:marRight w:val="0"/>
                  <w:marTop w:val="0"/>
                  <w:marBottom w:val="72"/>
                  <w:divBdr>
                    <w:top w:val="none" w:sz="0" w:space="0" w:color="auto"/>
                    <w:left w:val="none" w:sz="0" w:space="0" w:color="auto"/>
                    <w:bottom w:val="none" w:sz="0" w:space="0" w:color="auto"/>
                    <w:right w:val="none" w:sz="0" w:space="0" w:color="auto"/>
                  </w:divBdr>
                  <w:divsChild>
                    <w:div w:id="11504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733424">
      <w:bodyDiv w:val="1"/>
      <w:marLeft w:val="0"/>
      <w:marRight w:val="0"/>
      <w:marTop w:val="0"/>
      <w:marBottom w:val="0"/>
      <w:divBdr>
        <w:top w:val="none" w:sz="0" w:space="0" w:color="auto"/>
        <w:left w:val="none" w:sz="0" w:space="0" w:color="auto"/>
        <w:bottom w:val="none" w:sz="0" w:space="0" w:color="auto"/>
        <w:right w:val="none" w:sz="0" w:space="0" w:color="auto"/>
      </w:divBdr>
      <w:divsChild>
        <w:div w:id="1806702834">
          <w:marLeft w:val="360"/>
          <w:marRight w:val="0"/>
          <w:marTop w:val="0"/>
          <w:marBottom w:val="72"/>
          <w:divBdr>
            <w:top w:val="none" w:sz="0" w:space="0" w:color="auto"/>
            <w:left w:val="none" w:sz="0" w:space="0" w:color="auto"/>
            <w:bottom w:val="none" w:sz="0" w:space="0" w:color="auto"/>
            <w:right w:val="none" w:sz="0" w:space="0" w:color="auto"/>
          </w:divBdr>
        </w:div>
        <w:div w:id="1896040477">
          <w:marLeft w:val="360"/>
          <w:marRight w:val="0"/>
          <w:marTop w:val="0"/>
          <w:marBottom w:val="72"/>
          <w:divBdr>
            <w:top w:val="none" w:sz="0" w:space="0" w:color="auto"/>
            <w:left w:val="none" w:sz="0" w:space="0" w:color="auto"/>
            <w:bottom w:val="none" w:sz="0" w:space="0" w:color="auto"/>
            <w:right w:val="none" w:sz="0" w:space="0" w:color="auto"/>
          </w:divBdr>
          <w:divsChild>
            <w:div w:id="1277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18250">
      <w:bodyDiv w:val="1"/>
      <w:marLeft w:val="0"/>
      <w:marRight w:val="0"/>
      <w:marTop w:val="0"/>
      <w:marBottom w:val="0"/>
      <w:divBdr>
        <w:top w:val="none" w:sz="0" w:space="0" w:color="auto"/>
        <w:left w:val="none" w:sz="0" w:space="0" w:color="auto"/>
        <w:bottom w:val="none" w:sz="0" w:space="0" w:color="auto"/>
        <w:right w:val="none" w:sz="0" w:space="0" w:color="auto"/>
      </w:divBdr>
      <w:divsChild>
        <w:div w:id="394816747">
          <w:marLeft w:val="0"/>
          <w:marRight w:val="0"/>
          <w:marTop w:val="72"/>
          <w:marBottom w:val="0"/>
          <w:divBdr>
            <w:top w:val="none" w:sz="0" w:space="0" w:color="auto"/>
            <w:left w:val="none" w:sz="0" w:space="0" w:color="auto"/>
            <w:bottom w:val="none" w:sz="0" w:space="0" w:color="auto"/>
            <w:right w:val="none" w:sz="0" w:space="0" w:color="auto"/>
          </w:divBdr>
        </w:div>
      </w:divsChild>
    </w:div>
    <w:div w:id="622005156">
      <w:bodyDiv w:val="1"/>
      <w:marLeft w:val="0"/>
      <w:marRight w:val="0"/>
      <w:marTop w:val="0"/>
      <w:marBottom w:val="0"/>
      <w:divBdr>
        <w:top w:val="none" w:sz="0" w:space="0" w:color="auto"/>
        <w:left w:val="none" w:sz="0" w:space="0" w:color="auto"/>
        <w:bottom w:val="none" w:sz="0" w:space="0" w:color="auto"/>
        <w:right w:val="none" w:sz="0" w:space="0" w:color="auto"/>
      </w:divBdr>
      <w:divsChild>
        <w:div w:id="808522511">
          <w:marLeft w:val="0"/>
          <w:marRight w:val="0"/>
          <w:marTop w:val="0"/>
          <w:marBottom w:val="240"/>
          <w:divBdr>
            <w:top w:val="none" w:sz="0" w:space="0" w:color="auto"/>
            <w:left w:val="none" w:sz="0" w:space="0" w:color="auto"/>
            <w:bottom w:val="none" w:sz="0" w:space="0" w:color="auto"/>
            <w:right w:val="none" w:sz="0" w:space="0" w:color="auto"/>
          </w:divBdr>
        </w:div>
      </w:divsChild>
    </w:div>
    <w:div w:id="627590419">
      <w:bodyDiv w:val="1"/>
      <w:marLeft w:val="0"/>
      <w:marRight w:val="0"/>
      <w:marTop w:val="0"/>
      <w:marBottom w:val="0"/>
      <w:divBdr>
        <w:top w:val="none" w:sz="0" w:space="0" w:color="auto"/>
        <w:left w:val="none" w:sz="0" w:space="0" w:color="auto"/>
        <w:bottom w:val="none" w:sz="0" w:space="0" w:color="auto"/>
        <w:right w:val="none" w:sz="0" w:space="0" w:color="auto"/>
      </w:divBdr>
      <w:divsChild>
        <w:div w:id="1293364865">
          <w:marLeft w:val="0"/>
          <w:marRight w:val="0"/>
          <w:marTop w:val="0"/>
          <w:marBottom w:val="240"/>
          <w:divBdr>
            <w:top w:val="none" w:sz="0" w:space="0" w:color="auto"/>
            <w:left w:val="none" w:sz="0" w:space="0" w:color="auto"/>
            <w:bottom w:val="none" w:sz="0" w:space="0" w:color="auto"/>
            <w:right w:val="none" w:sz="0" w:space="0" w:color="auto"/>
          </w:divBdr>
        </w:div>
      </w:divsChild>
    </w:div>
    <w:div w:id="641932708">
      <w:bodyDiv w:val="1"/>
      <w:marLeft w:val="0"/>
      <w:marRight w:val="0"/>
      <w:marTop w:val="0"/>
      <w:marBottom w:val="0"/>
      <w:divBdr>
        <w:top w:val="none" w:sz="0" w:space="0" w:color="auto"/>
        <w:left w:val="none" w:sz="0" w:space="0" w:color="auto"/>
        <w:bottom w:val="none" w:sz="0" w:space="0" w:color="auto"/>
        <w:right w:val="none" w:sz="0" w:space="0" w:color="auto"/>
      </w:divBdr>
    </w:div>
    <w:div w:id="673799575">
      <w:bodyDiv w:val="1"/>
      <w:marLeft w:val="0"/>
      <w:marRight w:val="0"/>
      <w:marTop w:val="0"/>
      <w:marBottom w:val="0"/>
      <w:divBdr>
        <w:top w:val="none" w:sz="0" w:space="0" w:color="auto"/>
        <w:left w:val="none" w:sz="0" w:space="0" w:color="auto"/>
        <w:bottom w:val="none" w:sz="0" w:space="0" w:color="auto"/>
        <w:right w:val="none" w:sz="0" w:space="0" w:color="auto"/>
      </w:divBdr>
      <w:divsChild>
        <w:div w:id="511526554">
          <w:marLeft w:val="360"/>
          <w:marRight w:val="0"/>
          <w:marTop w:val="0"/>
          <w:marBottom w:val="72"/>
          <w:divBdr>
            <w:top w:val="none" w:sz="0" w:space="0" w:color="auto"/>
            <w:left w:val="none" w:sz="0" w:space="0" w:color="auto"/>
            <w:bottom w:val="none" w:sz="0" w:space="0" w:color="auto"/>
            <w:right w:val="none" w:sz="0" w:space="0" w:color="auto"/>
          </w:divBdr>
        </w:div>
        <w:div w:id="1060055958">
          <w:marLeft w:val="360"/>
          <w:marRight w:val="0"/>
          <w:marTop w:val="0"/>
          <w:marBottom w:val="72"/>
          <w:divBdr>
            <w:top w:val="none" w:sz="0" w:space="0" w:color="auto"/>
            <w:left w:val="none" w:sz="0" w:space="0" w:color="auto"/>
            <w:bottom w:val="none" w:sz="0" w:space="0" w:color="auto"/>
            <w:right w:val="none" w:sz="0" w:space="0" w:color="auto"/>
          </w:divBdr>
          <w:divsChild>
            <w:div w:id="5962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0648">
      <w:bodyDiv w:val="1"/>
      <w:marLeft w:val="0"/>
      <w:marRight w:val="0"/>
      <w:marTop w:val="0"/>
      <w:marBottom w:val="0"/>
      <w:divBdr>
        <w:top w:val="none" w:sz="0" w:space="0" w:color="auto"/>
        <w:left w:val="none" w:sz="0" w:space="0" w:color="auto"/>
        <w:bottom w:val="none" w:sz="0" w:space="0" w:color="auto"/>
        <w:right w:val="none" w:sz="0" w:space="0" w:color="auto"/>
      </w:divBdr>
      <w:divsChild>
        <w:div w:id="1391729657">
          <w:marLeft w:val="0"/>
          <w:marRight w:val="0"/>
          <w:marTop w:val="72"/>
          <w:marBottom w:val="0"/>
          <w:divBdr>
            <w:top w:val="none" w:sz="0" w:space="0" w:color="auto"/>
            <w:left w:val="none" w:sz="0" w:space="0" w:color="auto"/>
            <w:bottom w:val="none" w:sz="0" w:space="0" w:color="auto"/>
            <w:right w:val="none" w:sz="0" w:space="0" w:color="auto"/>
          </w:divBdr>
        </w:div>
      </w:divsChild>
    </w:div>
    <w:div w:id="883634300">
      <w:bodyDiv w:val="1"/>
      <w:marLeft w:val="0"/>
      <w:marRight w:val="0"/>
      <w:marTop w:val="0"/>
      <w:marBottom w:val="0"/>
      <w:divBdr>
        <w:top w:val="none" w:sz="0" w:space="0" w:color="auto"/>
        <w:left w:val="none" w:sz="0" w:space="0" w:color="auto"/>
        <w:bottom w:val="none" w:sz="0" w:space="0" w:color="auto"/>
        <w:right w:val="none" w:sz="0" w:space="0" w:color="auto"/>
      </w:divBdr>
      <w:divsChild>
        <w:div w:id="1581678125">
          <w:marLeft w:val="0"/>
          <w:marRight w:val="0"/>
          <w:marTop w:val="72"/>
          <w:marBottom w:val="0"/>
          <w:divBdr>
            <w:top w:val="none" w:sz="0" w:space="0" w:color="auto"/>
            <w:left w:val="none" w:sz="0" w:space="0" w:color="auto"/>
            <w:bottom w:val="none" w:sz="0" w:space="0" w:color="auto"/>
            <w:right w:val="none" w:sz="0" w:space="0" w:color="auto"/>
          </w:divBdr>
        </w:div>
      </w:divsChild>
    </w:div>
    <w:div w:id="892544294">
      <w:bodyDiv w:val="1"/>
      <w:marLeft w:val="0"/>
      <w:marRight w:val="0"/>
      <w:marTop w:val="0"/>
      <w:marBottom w:val="0"/>
      <w:divBdr>
        <w:top w:val="none" w:sz="0" w:space="0" w:color="auto"/>
        <w:left w:val="none" w:sz="0" w:space="0" w:color="auto"/>
        <w:bottom w:val="none" w:sz="0" w:space="0" w:color="auto"/>
        <w:right w:val="none" w:sz="0" w:space="0" w:color="auto"/>
      </w:divBdr>
      <w:divsChild>
        <w:div w:id="1161002781">
          <w:marLeft w:val="0"/>
          <w:marRight w:val="0"/>
          <w:marTop w:val="72"/>
          <w:marBottom w:val="0"/>
          <w:divBdr>
            <w:top w:val="none" w:sz="0" w:space="0" w:color="auto"/>
            <w:left w:val="none" w:sz="0" w:space="0" w:color="auto"/>
            <w:bottom w:val="none" w:sz="0" w:space="0" w:color="auto"/>
            <w:right w:val="none" w:sz="0" w:space="0" w:color="auto"/>
          </w:divBdr>
        </w:div>
      </w:divsChild>
    </w:div>
    <w:div w:id="963655441">
      <w:bodyDiv w:val="1"/>
      <w:marLeft w:val="0"/>
      <w:marRight w:val="0"/>
      <w:marTop w:val="0"/>
      <w:marBottom w:val="0"/>
      <w:divBdr>
        <w:top w:val="none" w:sz="0" w:space="0" w:color="auto"/>
        <w:left w:val="none" w:sz="0" w:space="0" w:color="auto"/>
        <w:bottom w:val="none" w:sz="0" w:space="0" w:color="auto"/>
        <w:right w:val="none" w:sz="0" w:space="0" w:color="auto"/>
      </w:divBdr>
      <w:divsChild>
        <w:div w:id="878319428">
          <w:marLeft w:val="0"/>
          <w:marRight w:val="0"/>
          <w:marTop w:val="72"/>
          <w:marBottom w:val="0"/>
          <w:divBdr>
            <w:top w:val="none" w:sz="0" w:space="0" w:color="auto"/>
            <w:left w:val="none" w:sz="0" w:space="0" w:color="auto"/>
            <w:bottom w:val="none" w:sz="0" w:space="0" w:color="auto"/>
            <w:right w:val="none" w:sz="0" w:space="0" w:color="auto"/>
          </w:divBdr>
          <w:divsChild>
            <w:div w:id="553927683">
              <w:marLeft w:val="0"/>
              <w:marRight w:val="0"/>
              <w:marTop w:val="0"/>
              <w:marBottom w:val="0"/>
              <w:divBdr>
                <w:top w:val="none" w:sz="0" w:space="0" w:color="auto"/>
                <w:left w:val="none" w:sz="0" w:space="0" w:color="auto"/>
                <w:bottom w:val="none" w:sz="0" w:space="0" w:color="auto"/>
                <w:right w:val="none" w:sz="0" w:space="0" w:color="auto"/>
              </w:divBdr>
            </w:div>
          </w:divsChild>
        </w:div>
        <w:div w:id="261492311">
          <w:marLeft w:val="0"/>
          <w:marRight w:val="0"/>
          <w:marTop w:val="72"/>
          <w:marBottom w:val="0"/>
          <w:divBdr>
            <w:top w:val="none" w:sz="0" w:space="0" w:color="auto"/>
            <w:left w:val="none" w:sz="0" w:space="0" w:color="auto"/>
            <w:bottom w:val="none" w:sz="0" w:space="0" w:color="auto"/>
            <w:right w:val="none" w:sz="0" w:space="0" w:color="auto"/>
          </w:divBdr>
          <w:divsChild>
            <w:div w:id="65865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1897">
      <w:bodyDiv w:val="1"/>
      <w:marLeft w:val="0"/>
      <w:marRight w:val="0"/>
      <w:marTop w:val="0"/>
      <w:marBottom w:val="0"/>
      <w:divBdr>
        <w:top w:val="none" w:sz="0" w:space="0" w:color="auto"/>
        <w:left w:val="none" w:sz="0" w:space="0" w:color="auto"/>
        <w:bottom w:val="none" w:sz="0" w:space="0" w:color="auto"/>
        <w:right w:val="none" w:sz="0" w:space="0" w:color="auto"/>
      </w:divBdr>
      <w:divsChild>
        <w:div w:id="859969469">
          <w:marLeft w:val="0"/>
          <w:marRight w:val="0"/>
          <w:marTop w:val="72"/>
          <w:marBottom w:val="0"/>
          <w:divBdr>
            <w:top w:val="none" w:sz="0" w:space="0" w:color="auto"/>
            <w:left w:val="none" w:sz="0" w:space="0" w:color="auto"/>
            <w:bottom w:val="none" w:sz="0" w:space="0" w:color="auto"/>
            <w:right w:val="none" w:sz="0" w:space="0" w:color="auto"/>
          </w:divBdr>
        </w:div>
      </w:divsChild>
    </w:div>
    <w:div w:id="975137288">
      <w:bodyDiv w:val="1"/>
      <w:marLeft w:val="0"/>
      <w:marRight w:val="0"/>
      <w:marTop w:val="0"/>
      <w:marBottom w:val="0"/>
      <w:divBdr>
        <w:top w:val="none" w:sz="0" w:space="0" w:color="auto"/>
        <w:left w:val="none" w:sz="0" w:space="0" w:color="auto"/>
        <w:bottom w:val="none" w:sz="0" w:space="0" w:color="auto"/>
        <w:right w:val="none" w:sz="0" w:space="0" w:color="auto"/>
      </w:divBdr>
      <w:divsChild>
        <w:div w:id="982394727">
          <w:marLeft w:val="0"/>
          <w:marRight w:val="0"/>
          <w:marTop w:val="72"/>
          <w:marBottom w:val="0"/>
          <w:divBdr>
            <w:top w:val="none" w:sz="0" w:space="0" w:color="auto"/>
            <w:left w:val="none" w:sz="0" w:space="0" w:color="auto"/>
            <w:bottom w:val="none" w:sz="0" w:space="0" w:color="auto"/>
            <w:right w:val="none" w:sz="0" w:space="0" w:color="auto"/>
          </w:divBdr>
        </w:div>
      </w:divsChild>
    </w:div>
    <w:div w:id="1014721705">
      <w:bodyDiv w:val="1"/>
      <w:marLeft w:val="0"/>
      <w:marRight w:val="0"/>
      <w:marTop w:val="0"/>
      <w:marBottom w:val="0"/>
      <w:divBdr>
        <w:top w:val="none" w:sz="0" w:space="0" w:color="auto"/>
        <w:left w:val="none" w:sz="0" w:space="0" w:color="auto"/>
        <w:bottom w:val="none" w:sz="0" w:space="0" w:color="auto"/>
        <w:right w:val="none" w:sz="0" w:space="0" w:color="auto"/>
      </w:divBdr>
      <w:divsChild>
        <w:div w:id="1058941846">
          <w:marLeft w:val="0"/>
          <w:marRight w:val="0"/>
          <w:marTop w:val="72"/>
          <w:marBottom w:val="0"/>
          <w:divBdr>
            <w:top w:val="none" w:sz="0" w:space="0" w:color="auto"/>
            <w:left w:val="none" w:sz="0" w:space="0" w:color="auto"/>
            <w:bottom w:val="none" w:sz="0" w:space="0" w:color="auto"/>
            <w:right w:val="none" w:sz="0" w:space="0" w:color="auto"/>
          </w:divBdr>
        </w:div>
      </w:divsChild>
    </w:div>
    <w:div w:id="1072191391">
      <w:bodyDiv w:val="1"/>
      <w:marLeft w:val="0"/>
      <w:marRight w:val="0"/>
      <w:marTop w:val="0"/>
      <w:marBottom w:val="0"/>
      <w:divBdr>
        <w:top w:val="none" w:sz="0" w:space="0" w:color="auto"/>
        <w:left w:val="none" w:sz="0" w:space="0" w:color="auto"/>
        <w:bottom w:val="none" w:sz="0" w:space="0" w:color="auto"/>
        <w:right w:val="none" w:sz="0" w:space="0" w:color="auto"/>
      </w:divBdr>
    </w:div>
    <w:div w:id="1076395315">
      <w:bodyDiv w:val="1"/>
      <w:marLeft w:val="0"/>
      <w:marRight w:val="0"/>
      <w:marTop w:val="0"/>
      <w:marBottom w:val="0"/>
      <w:divBdr>
        <w:top w:val="none" w:sz="0" w:space="0" w:color="auto"/>
        <w:left w:val="none" w:sz="0" w:space="0" w:color="auto"/>
        <w:bottom w:val="none" w:sz="0" w:space="0" w:color="auto"/>
        <w:right w:val="none" w:sz="0" w:space="0" w:color="auto"/>
      </w:divBdr>
      <w:divsChild>
        <w:div w:id="834802634">
          <w:marLeft w:val="0"/>
          <w:marRight w:val="0"/>
          <w:marTop w:val="0"/>
          <w:marBottom w:val="240"/>
          <w:divBdr>
            <w:top w:val="none" w:sz="0" w:space="0" w:color="auto"/>
            <w:left w:val="none" w:sz="0" w:space="0" w:color="auto"/>
            <w:bottom w:val="none" w:sz="0" w:space="0" w:color="auto"/>
            <w:right w:val="none" w:sz="0" w:space="0" w:color="auto"/>
          </w:divBdr>
        </w:div>
      </w:divsChild>
    </w:div>
    <w:div w:id="1081370405">
      <w:bodyDiv w:val="1"/>
      <w:marLeft w:val="0"/>
      <w:marRight w:val="0"/>
      <w:marTop w:val="0"/>
      <w:marBottom w:val="0"/>
      <w:divBdr>
        <w:top w:val="none" w:sz="0" w:space="0" w:color="auto"/>
        <w:left w:val="none" w:sz="0" w:space="0" w:color="auto"/>
        <w:bottom w:val="none" w:sz="0" w:space="0" w:color="auto"/>
        <w:right w:val="none" w:sz="0" w:space="0" w:color="auto"/>
      </w:divBdr>
      <w:divsChild>
        <w:div w:id="886647185">
          <w:marLeft w:val="0"/>
          <w:marRight w:val="0"/>
          <w:marTop w:val="72"/>
          <w:marBottom w:val="0"/>
          <w:divBdr>
            <w:top w:val="none" w:sz="0" w:space="0" w:color="auto"/>
            <w:left w:val="none" w:sz="0" w:space="0" w:color="auto"/>
            <w:bottom w:val="none" w:sz="0" w:space="0" w:color="auto"/>
            <w:right w:val="none" w:sz="0" w:space="0" w:color="auto"/>
          </w:divBdr>
          <w:divsChild>
            <w:div w:id="682635589">
              <w:marLeft w:val="0"/>
              <w:marRight w:val="0"/>
              <w:marTop w:val="0"/>
              <w:marBottom w:val="0"/>
              <w:divBdr>
                <w:top w:val="none" w:sz="0" w:space="0" w:color="auto"/>
                <w:left w:val="none" w:sz="0" w:space="0" w:color="auto"/>
                <w:bottom w:val="none" w:sz="0" w:space="0" w:color="auto"/>
                <w:right w:val="none" w:sz="0" w:space="0" w:color="auto"/>
              </w:divBdr>
            </w:div>
          </w:divsChild>
        </w:div>
        <w:div w:id="599334628">
          <w:marLeft w:val="0"/>
          <w:marRight w:val="0"/>
          <w:marTop w:val="72"/>
          <w:marBottom w:val="0"/>
          <w:divBdr>
            <w:top w:val="none" w:sz="0" w:space="0" w:color="auto"/>
            <w:left w:val="none" w:sz="0" w:space="0" w:color="auto"/>
            <w:bottom w:val="none" w:sz="0" w:space="0" w:color="auto"/>
            <w:right w:val="none" w:sz="0" w:space="0" w:color="auto"/>
          </w:divBdr>
          <w:divsChild>
            <w:div w:id="781995461">
              <w:marLeft w:val="0"/>
              <w:marRight w:val="0"/>
              <w:marTop w:val="0"/>
              <w:marBottom w:val="0"/>
              <w:divBdr>
                <w:top w:val="none" w:sz="0" w:space="0" w:color="auto"/>
                <w:left w:val="none" w:sz="0" w:space="0" w:color="auto"/>
                <w:bottom w:val="none" w:sz="0" w:space="0" w:color="auto"/>
                <w:right w:val="none" w:sz="0" w:space="0" w:color="auto"/>
              </w:divBdr>
            </w:div>
          </w:divsChild>
        </w:div>
        <w:div w:id="1443110046">
          <w:marLeft w:val="0"/>
          <w:marRight w:val="0"/>
          <w:marTop w:val="72"/>
          <w:marBottom w:val="0"/>
          <w:divBdr>
            <w:top w:val="none" w:sz="0" w:space="0" w:color="auto"/>
            <w:left w:val="none" w:sz="0" w:space="0" w:color="auto"/>
            <w:bottom w:val="none" w:sz="0" w:space="0" w:color="auto"/>
            <w:right w:val="none" w:sz="0" w:space="0" w:color="auto"/>
          </w:divBdr>
          <w:divsChild>
            <w:div w:id="867839492">
              <w:marLeft w:val="0"/>
              <w:marRight w:val="0"/>
              <w:marTop w:val="0"/>
              <w:marBottom w:val="0"/>
              <w:divBdr>
                <w:top w:val="none" w:sz="0" w:space="0" w:color="auto"/>
                <w:left w:val="none" w:sz="0" w:space="0" w:color="auto"/>
                <w:bottom w:val="none" w:sz="0" w:space="0" w:color="auto"/>
                <w:right w:val="none" w:sz="0" w:space="0" w:color="auto"/>
              </w:divBdr>
            </w:div>
          </w:divsChild>
        </w:div>
        <w:div w:id="851142952">
          <w:marLeft w:val="0"/>
          <w:marRight w:val="0"/>
          <w:marTop w:val="72"/>
          <w:marBottom w:val="0"/>
          <w:divBdr>
            <w:top w:val="none" w:sz="0" w:space="0" w:color="auto"/>
            <w:left w:val="none" w:sz="0" w:space="0" w:color="auto"/>
            <w:bottom w:val="none" w:sz="0" w:space="0" w:color="auto"/>
            <w:right w:val="none" w:sz="0" w:space="0" w:color="auto"/>
          </w:divBdr>
          <w:divsChild>
            <w:div w:id="1753237754">
              <w:marLeft w:val="0"/>
              <w:marRight w:val="0"/>
              <w:marTop w:val="0"/>
              <w:marBottom w:val="0"/>
              <w:divBdr>
                <w:top w:val="none" w:sz="0" w:space="0" w:color="auto"/>
                <w:left w:val="none" w:sz="0" w:space="0" w:color="auto"/>
                <w:bottom w:val="none" w:sz="0" w:space="0" w:color="auto"/>
                <w:right w:val="none" w:sz="0" w:space="0" w:color="auto"/>
              </w:divBdr>
            </w:div>
          </w:divsChild>
        </w:div>
        <w:div w:id="186523895">
          <w:marLeft w:val="0"/>
          <w:marRight w:val="0"/>
          <w:marTop w:val="72"/>
          <w:marBottom w:val="0"/>
          <w:divBdr>
            <w:top w:val="none" w:sz="0" w:space="0" w:color="auto"/>
            <w:left w:val="none" w:sz="0" w:space="0" w:color="auto"/>
            <w:bottom w:val="none" w:sz="0" w:space="0" w:color="auto"/>
            <w:right w:val="none" w:sz="0" w:space="0" w:color="auto"/>
          </w:divBdr>
          <w:divsChild>
            <w:div w:id="1049839154">
              <w:marLeft w:val="0"/>
              <w:marRight w:val="0"/>
              <w:marTop w:val="0"/>
              <w:marBottom w:val="0"/>
              <w:divBdr>
                <w:top w:val="none" w:sz="0" w:space="0" w:color="auto"/>
                <w:left w:val="none" w:sz="0" w:space="0" w:color="auto"/>
                <w:bottom w:val="none" w:sz="0" w:space="0" w:color="auto"/>
                <w:right w:val="none" w:sz="0" w:space="0" w:color="auto"/>
              </w:divBdr>
            </w:div>
          </w:divsChild>
        </w:div>
        <w:div w:id="1462385624">
          <w:marLeft w:val="0"/>
          <w:marRight w:val="0"/>
          <w:marTop w:val="72"/>
          <w:marBottom w:val="0"/>
          <w:divBdr>
            <w:top w:val="none" w:sz="0" w:space="0" w:color="auto"/>
            <w:left w:val="none" w:sz="0" w:space="0" w:color="auto"/>
            <w:bottom w:val="none" w:sz="0" w:space="0" w:color="auto"/>
            <w:right w:val="none" w:sz="0" w:space="0" w:color="auto"/>
          </w:divBdr>
          <w:divsChild>
            <w:div w:id="1122725955">
              <w:marLeft w:val="0"/>
              <w:marRight w:val="0"/>
              <w:marTop w:val="0"/>
              <w:marBottom w:val="0"/>
              <w:divBdr>
                <w:top w:val="none" w:sz="0" w:space="0" w:color="auto"/>
                <w:left w:val="none" w:sz="0" w:space="0" w:color="auto"/>
                <w:bottom w:val="none" w:sz="0" w:space="0" w:color="auto"/>
                <w:right w:val="none" w:sz="0" w:space="0" w:color="auto"/>
              </w:divBdr>
            </w:div>
          </w:divsChild>
        </w:div>
        <w:div w:id="597251990">
          <w:marLeft w:val="0"/>
          <w:marRight w:val="0"/>
          <w:marTop w:val="72"/>
          <w:marBottom w:val="0"/>
          <w:divBdr>
            <w:top w:val="none" w:sz="0" w:space="0" w:color="auto"/>
            <w:left w:val="none" w:sz="0" w:space="0" w:color="auto"/>
            <w:bottom w:val="none" w:sz="0" w:space="0" w:color="auto"/>
            <w:right w:val="none" w:sz="0" w:space="0" w:color="auto"/>
          </w:divBdr>
          <w:divsChild>
            <w:div w:id="175546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30090">
      <w:bodyDiv w:val="1"/>
      <w:marLeft w:val="0"/>
      <w:marRight w:val="0"/>
      <w:marTop w:val="0"/>
      <w:marBottom w:val="0"/>
      <w:divBdr>
        <w:top w:val="none" w:sz="0" w:space="0" w:color="auto"/>
        <w:left w:val="none" w:sz="0" w:space="0" w:color="auto"/>
        <w:bottom w:val="none" w:sz="0" w:space="0" w:color="auto"/>
        <w:right w:val="none" w:sz="0" w:space="0" w:color="auto"/>
      </w:divBdr>
    </w:div>
    <w:div w:id="1309939733">
      <w:bodyDiv w:val="1"/>
      <w:marLeft w:val="0"/>
      <w:marRight w:val="0"/>
      <w:marTop w:val="0"/>
      <w:marBottom w:val="0"/>
      <w:divBdr>
        <w:top w:val="none" w:sz="0" w:space="0" w:color="auto"/>
        <w:left w:val="none" w:sz="0" w:space="0" w:color="auto"/>
        <w:bottom w:val="none" w:sz="0" w:space="0" w:color="auto"/>
        <w:right w:val="none" w:sz="0" w:space="0" w:color="auto"/>
      </w:divBdr>
      <w:divsChild>
        <w:div w:id="1886678175">
          <w:marLeft w:val="0"/>
          <w:marRight w:val="0"/>
          <w:marTop w:val="72"/>
          <w:marBottom w:val="0"/>
          <w:divBdr>
            <w:top w:val="none" w:sz="0" w:space="0" w:color="auto"/>
            <w:left w:val="none" w:sz="0" w:space="0" w:color="auto"/>
            <w:bottom w:val="none" w:sz="0" w:space="0" w:color="auto"/>
            <w:right w:val="none" w:sz="0" w:space="0" w:color="auto"/>
          </w:divBdr>
          <w:divsChild>
            <w:div w:id="699668311">
              <w:marLeft w:val="0"/>
              <w:marRight w:val="0"/>
              <w:marTop w:val="0"/>
              <w:marBottom w:val="0"/>
              <w:divBdr>
                <w:top w:val="none" w:sz="0" w:space="0" w:color="auto"/>
                <w:left w:val="none" w:sz="0" w:space="0" w:color="auto"/>
                <w:bottom w:val="none" w:sz="0" w:space="0" w:color="auto"/>
                <w:right w:val="none" w:sz="0" w:space="0" w:color="auto"/>
              </w:divBdr>
            </w:div>
          </w:divsChild>
        </w:div>
        <w:div w:id="226647943">
          <w:marLeft w:val="0"/>
          <w:marRight w:val="0"/>
          <w:marTop w:val="72"/>
          <w:marBottom w:val="0"/>
          <w:divBdr>
            <w:top w:val="none" w:sz="0" w:space="0" w:color="auto"/>
            <w:left w:val="none" w:sz="0" w:space="0" w:color="auto"/>
            <w:bottom w:val="none" w:sz="0" w:space="0" w:color="auto"/>
            <w:right w:val="none" w:sz="0" w:space="0" w:color="auto"/>
          </w:divBdr>
          <w:divsChild>
            <w:div w:id="1093355318">
              <w:marLeft w:val="0"/>
              <w:marRight w:val="0"/>
              <w:marTop w:val="0"/>
              <w:marBottom w:val="0"/>
              <w:divBdr>
                <w:top w:val="none" w:sz="0" w:space="0" w:color="auto"/>
                <w:left w:val="none" w:sz="0" w:space="0" w:color="auto"/>
                <w:bottom w:val="none" w:sz="0" w:space="0" w:color="auto"/>
                <w:right w:val="none" w:sz="0" w:space="0" w:color="auto"/>
              </w:divBdr>
            </w:div>
          </w:divsChild>
        </w:div>
        <w:div w:id="1202136996">
          <w:marLeft w:val="0"/>
          <w:marRight w:val="0"/>
          <w:marTop w:val="72"/>
          <w:marBottom w:val="0"/>
          <w:divBdr>
            <w:top w:val="none" w:sz="0" w:space="0" w:color="auto"/>
            <w:left w:val="none" w:sz="0" w:space="0" w:color="auto"/>
            <w:bottom w:val="none" w:sz="0" w:space="0" w:color="auto"/>
            <w:right w:val="none" w:sz="0" w:space="0" w:color="auto"/>
          </w:divBdr>
          <w:divsChild>
            <w:div w:id="1556315040">
              <w:marLeft w:val="0"/>
              <w:marRight w:val="0"/>
              <w:marTop w:val="0"/>
              <w:marBottom w:val="0"/>
              <w:divBdr>
                <w:top w:val="none" w:sz="0" w:space="0" w:color="auto"/>
                <w:left w:val="none" w:sz="0" w:space="0" w:color="auto"/>
                <w:bottom w:val="none" w:sz="0" w:space="0" w:color="auto"/>
                <w:right w:val="none" w:sz="0" w:space="0" w:color="auto"/>
              </w:divBdr>
            </w:div>
          </w:divsChild>
        </w:div>
        <w:div w:id="690567598">
          <w:marLeft w:val="0"/>
          <w:marRight w:val="0"/>
          <w:marTop w:val="72"/>
          <w:marBottom w:val="0"/>
          <w:divBdr>
            <w:top w:val="none" w:sz="0" w:space="0" w:color="auto"/>
            <w:left w:val="none" w:sz="0" w:space="0" w:color="auto"/>
            <w:bottom w:val="none" w:sz="0" w:space="0" w:color="auto"/>
            <w:right w:val="none" w:sz="0" w:space="0" w:color="auto"/>
          </w:divBdr>
          <w:divsChild>
            <w:div w:id="1150829113">
              <w:marLeft w:val="0"/>
              <w:marRight w:val="0"/>
              <w:marTop w:val="0"/>
              <w:marBottom w:val="0"/>
              <w:divBdr>
                <w:top w:val="none" w:sz="0" w:space="0" w:color="auto"/>
                <w:left w:val="none" w:sz="0" w:space="0" w:color="auto"/>
                <w:bottom w:val="none" w:sz="0" w:space="0" w:color="auto"/>
                <w:right w:val="none" w:sz="0" w:space="0" w:color="auto"/>
              </w:divBdr>
            </w:div>
          </w:divsChild>
        </w:div>
        <w:div w:id="1115059446">
          <w:marLeft w:val="0"/>
          <w:marRight w:val="0"/>
          <w:marTop w:val="72"/>
          <w:marBottom w:val="0"/>
          <w:divBdr>
            <w:top w:val="none" w:sz="0" w:space="0" w:color="auto"/>
            <w:left w:val="none" w:sz="0" w:space="0" w:color="auto"/>
            <w:bottom w:val="none" w:sz="0" w:space="0" w:color="auto"/>
            <w:right w:val="none" w:sz="0" w:space="0" w:color="auto"/>
          </w:divBdr>
          <w:divsChild>
            <w:div w:id="1719545023">
              <w:marLeft w:val="0"/>
              <w:marRight w:val="0"/>
              <w:marTop w:val="0"/>
              <w:marBottom w:val="0"/>
              <w:divBdr>
                <w:top w:val="none" w:sz="0" w:space="0" w:color="auto"/>
                <w:left w:val="none" w:sz="0" w:space="0" w:color="auto"/>
                <w:bottom w:val="none" w:sz="0" w:space="0" w:color="auto"/>
                <w:right w:val="none" w:sz="0" w:space="0" w:color="auto"/>
              </w:divBdr>
            </w:div>
          </w:divsChild>
        </w:div>
        <w:div w:id="1664771486">
          <w:marLeft w:val="0"/>
          <w:marRight w:val="0"/>
          <w:marTop w:val="72"/>
          <w:marBottom w:val="0"/>
          <w:divBdr>
            <w:top w:val="none" w:sz="0" w:space="0" w:color="auto"/>
            <w:left w:val="none" w:sz="0" w:space="0" w:color="auto"/>
            <w:bottom w:val="none" w:sz="0" w:space="0" w:color="auto"/>
            <w:right w:val="none" w:sz="0" w:space="0" w:color="auto"/>
          </w:divBdr>
          <w:divsChild>
            <w:div w:id="584729797">
              <w:marLeft w:val="0"/>
              <w:marRight w:val="0"/>
              <w:marTop w:val="0"/>
              <w:marBottom w:val="0"/>
              <w:divBdr>
                <w:top w:val="none" w:sz="0" w:space="0" w:color="auto"/>
                <w:left w:val="none" w:sz="0" w:space="0" w:color="auto"/>
                <w:bottom w:val="none" w:sz="0" w:space="0" w:color="auto"/>
                <w:right w:val="none" w:sz="0" w:space="0" w:color="auto"/>
              </w:divBdr>
            </w:div>
          </w:divsChild>
        </w:div>
        <w:div w:id="706375423">
          <w:marLeft w:val="0"/>
          <w:marRight w:val="0"/>
          <w:marTop w:val="72"/>
          <w:marBottom w:val="0"/>
          <w:divBdr>
            <w:top w:val="none" w:sz="0" w:space="0" w:color="auto"/>
            <w:left w:val="none" w:sz="0" w:space="0" w:color="auto"/>
            <w:bottom w:val="none" w:sz="0" w:space="0" w:color="auto"/>
            <w:right w:val="none" w:sz="0" w:space="0" w:color="auto"/>
          </w:divBdr>
          <w:divsChild>
            <w:div w:id="1882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0873">
      <w:bodyDiv w:val="1"/>
      <w:marLeft w:val="0"/>
      <w:marRight w:val="0"/>
      <w:marTop w:val="0"/>
      <w:marBottom w:val="0"/>
      <w:divBdr>
        <w:top w:val="none" w:sz="0" w:space="0" w:color="auto"/>
        <w:left w:val="none" w:sz="0" w:space="0" w:color="auto"/>
        <w:bottom w:val="none" w:sz="0" w:space="0" w:color="auto"/>
        <w:right w:val="none" w:sz="0" w:space="0" w:color="auto"/>
      </w:divBdr>
      <w:divsChild>
        <w:div w:id="419907314">
          <w:marLeft w:val="0"/>
          <w:marRight w:val="0"/>
          <w:marTop w:val="0"/>
          <w:marBottom w:val="240"/>
          <w:divBdr>
            <w:top w:val="none" w:sz="0" w:space="0" w:color="auto"/>
            <w:left w:val="none" w:sz="0" w:space="0" w:color="auto"/>
            <w:bottom w:val="none" w:sz="0" w:space="0" w:color="auto"/>
            <w:right w:val="none" w:sz="0" w:space="0" w:color="auto"/>
          </w:divBdr>
        </w:div>
      </w:divsChild>
    </w:div>
    <w:div w:id="1399088372">
      <w:bodyDiv w:val="1"/>
      <w:marLeft w:val="0"/>
      <w:marRight w:val="0"/>
      <w:marTop w:val="0"/>
      <w:marBottom w:val="0"/>
      <w:divBdr>
        <w:top w:val="none" w:sz="0" w:space="0" w:color="auto"/>
        <w:left w:val="none" w:sz="0" w:space="0" w:color="auto"/>
        <w:bottom w:val="none" w:sz="0" w:space="0" w:color="auto"/>
        <w:right w:val="none" w:sz="0" w:space="0" w:color="auto"/>
      </w:divBdr>
      <w:divsChild>
        <w:div w:id="2015061875">
          <w:marLeft w:val="0"/>
          <w:marRight w:val="0"/>
          <w:marTop w:val="72"/>
          <w:marBottom w:val="0"/>
          <w:divBdr>
            <w:top w:val="none" w:sz="0" w:space="0" w:color="auto"/>
            <w:left w:val="none" w:sz="0" w:space="0" w:color="auto"/>
            <w:bottom w:val="none" w:sz="0" w:space="0" w:color="auto"/>
            <w:right w:val="none" w:sz="0" w:space="0" w:color="auto"/>
          </w:divBdr>
        </w:div>
      </w:divsChild>
    </w:div>
    <w:div w:id="1430273159">
      <w:bodyDiv w:val="1"/>
      <w:marLeft w:val="0"/>
      <w:marRight w:val="0"/>
      <w:marTop w:val="0"/>
      <w:marBottom w:val="0"/>
      <w:divBdr>
        <w:top w:val="none" w:sz="0" w:space="0" w:color="auto"/>
        <w:left w:val="none" w:sz="0" w:space="0" w:color="auto"/>
        <w:bottom w:val="none" w:sz="0" w:space="0" w:color="auto"/>
        <w:right w:val="none" w:sz="0" w:space="0" w:color="auto"/>
      </w:divBdr>
    </w:div>
    <w:div w:id="1492478814">
      <w:bodyDiv w:val="1"/>
      <w:marLeft w:val="0"/>
      <w:marRight w:val="0"/>
      <w:marTop w:val="0"/>
      <w:marBottom w:val="0"/>
      <w:divBdr>
        <w:top w:val="none" w:sz="0" w:space="0" w:color="auto"/>
        <w:left w:val="none" w:sz="0" w:space="0" w:color="auto"/>
        <w:bottom w:val="none" w:sz="0" w:space="0" w:color="auto"/>
        <w:right w:val="none" w:sz="0" w:space="0" w:color="auto"/>
      </w:divBdr>
      <w:divsChild>
        <w:div w:id="759563561">
          <w:marLeft w:val="0"/>
          <w:marRight w:val="0"/>
          <w:marTop w:val="0"/>
          <w:marBottom w:val="240"/>
          <w:divBdr>
            <w:top w:val="none" w:sz="0" w:space="0" w:color="auto"/>
            <w:left w:val="none" w:sz="0" w:space="0" w:color="auto"/>
            <w:bottom w:val="none" w:sz="0" w:space="0" w:color="auto"/>
            <w:right w:val="none" w:sz="0" w:space="0" w:color="auto"/>
          </w:divBdr>
          <w:divsChild>
            <w:div w:id="969752560">
              <w:marLeft w:val="0"/>
              <w:marRight w:val="0"/>
              <w:marTop w:val="0"/>
              <w:marBottom w:val="0"/>
              <w:divBdr>
                <w:top w:val="none" w:sz="0" w:space="0" w:color="auto"/>
                <w:left w:val="none" w:sz="0" w:space="0" w:color="auto"/>
                <w:bottom w:val="none" w:sz="0" w:space="0" w:color="auto"/>
                <w:right w:val="none" w:sz="0" w:space="0" w:color="auto"/>
              </w:divBdr>
            </w:div>
            <w:div w:id="364065348">
              <w:marLeft w:val="0"/>
              <w:marRight w:val="0"/>
              <w:marTop w:val="72"/>
              <w:marBottom w:val="0"/>
              <w:divBdr>
                <w:top w:val="none" w:sz="0" w:space="0" w:color="auto"/>
                <w:left w:val="none" w:sz="0" w:space="0" w:color="auto"/>
                <w:bottom w:val="none" w:sz="0" w:space="0" w:color="auto"/>
                <w:right w:val="none" w:sz="0" w:space="0" w:color="auto"/>
              </w:divBdr>
              <w:divsChild>
                <w:div w:id="1730617954">
                  <w:marLeft w:val="0"/>
                  <w:marRight w:val="0"/>
                  <w:marTop w:val="0"/>
                  <w:marBottom w:val="0"/>
                  <w:divBdr>
                    <w:top w:val="none" w:sz="0" w:space="0" w:color="auto"/>
                    <w:left w:val="none" w:sz="0" w:space="0" w:color="auto"/>
                    <w:bottom w:val="none" w:sz="0" w:space="0" w:color="auto"/>
                    <w:right w:val="none" w:sz="0" w:space="0" w:color="auto"/>
                  </w:divBdr>
                </w:div>
              </w:divsChild>
            </w:div>
            <w:div w:id="1189024532">
              <w:marLeft w:val="0"/>
              <w:marRight w:val="0"/>
              <w:marTop w:val="72"/>
              <w:marBottom w:val="0"/>
              <w:divBdr>
                <w:top w:val="none" w:sz="0" w:space="0" w:color="auto"/>
                <w:left w:val="none" w:sz="0" w:space="0" w:color="auto"/>
                <w:bottom w:val="none" w:sz="0" w:space="0" w:color="auto"/>
                <w:right w:val="none" w:sz="0" w:space="0" w:color="auto"/>
              </w:divBdr>
              <w:divsChild>
                <w:div w:id="1985045082">
                  <w:marLeft w:val="0"/>
                  <w:marRight w:val="0"/>
                  <w:marTop w:val="0"/>
                  <w:marBottom w:val="0"/>
                  <w:divBdr>
                    <w:top w:val="none" w:sz="0" w:space="0" w:color="auto"/>
                    <w:left w:val="none" w:sz="0" w:space="0" w:color="auto"/>
                    <w:bottom w:val="none" w:sz="0" w:space="0" w:color="auto"/>
                    <w:right w:val="none" w:sz="0" w:space="0" w:color="auto"/>
                  </w:divBdr>
                </w:div>
              </w:divsChild>
            </w:div>
            <w:div w:id="503133149">
              <w:marLeft w:val="0"/>
              <w:marRight w:val="0"/>
              <w:marTop w:val="72"/>
              <w:marBottom w:val="0"/>
              <w:divBdr>
                <w:top w:val="none" w:sz="0" w:space="0" w:color="auto"/>
                <w:left w:val="none" w:sz="0" w:space="0" w:color="auto"/>
                <w:bottom w:val="none" w:sz="0" w:space="0" w:color="auto"/>
                <w:right w:val="none" w:sz="0" w:space="0" w:color="auto"/>
              </w:divBdr>
              <w:divsChild>
                <w:div w:id="170925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6028">
          <w:marLeft w:val="0"/>
          <w:marRight w:val="0"/>
          <w:marTop w:val="0"/>
          <w:marBottom w:val="240"/>
          <w:divBdr>
            <w:top w:val="none" w:sz="0" w:space="0" w:color="auto"/>
            <w:left w:val="none" w:sz="0" w:space="0" w:color="auto"/>
            <w:bottom w:val="none" w:sz="0" w:space="0" w:color="auto"/>
            <w:right w:val="none" w:sz="0" w:space="0" w:color="auto"/>
          </w:divBdr>
          <w:divsChild>
            <w:div w:id="1842625619">
              <w:marLeft w:val="0"/>
              <w:marRight w:val="0"/>
              <w:marTop w:val="0"/>
              <w:marBottom w:val="0"/>
              <w:divBdr>
                <w:top w:val="none" w:sz="0" w:space="0" w:color="auto"/>
                <w:left w:val="none" w:sz="0" w:space="0" w:color="auto"/>
                <w:bottom w:val="none" w:sz="0" w:space="0" w:color="auto"/>
                <w:right w:val="none" w:sz="0" w:space="0" w:color="auto"/>
              </w:divBdr>
            </w:div>
            <w:div w:id="1347899565">
              <w:marLeft w:val="0"/>
              <w:marRight w:val="0"/>
              <w:marTop w:val="72"/>
              <w:marBottom w:val="0"/>
              <w:divBdr>
                <w:top w:val="none" w:sz="0" w:space="0" w:color="auto"/>
                <w:left w:val="none" w:sz="0" w:space="0" w:color="auto"/>
                <w:bottom w:val="none" w:sz="0" w:space="0" w:color="auto"/>
                <w:right w:val="none" w:sz="0" w:space="0" w:color="auto"/>
              </w:divBdr>
              <w:divsChild>
                <w:div w:id="1163622767">
                  <w:marLeft w:val="0"/>
                  <w:marRight w:val="0"/>
                  <w:marTop w:val="0"/>
                  <w:marBottom w:val="0"/>
                  <w:divBdr>
                    <w:top w:val="none" w:sz="0" w:space="0" w:color="auto"/>
                    <w:left w:val="none" w:sz="0" w:space="0" w:color="auto"/>
                    <w:bottom w:val="none" w:sz="0" w:space="0" w:color="auto"/>
                    <w:right w:val="none" w:sz="0" w:space="0" w:color="auto"/>
                  </w:divBdr>
                </w:div>
              </w:divsChild>
            </w:div>
            <w:div w:id="1862666304">
              <w:marLeft w:val="0"/>
              <w:marRight w:val="0"/>
              <w:marTop w:val="72"/>
              <w:marBottom w:val="0"/>
              <w:divBdr>
                <w:top w:val="none" w:sz="0" w:space="0" w:color="auto"/>
                <w:left w:val="none" w:sz="0" w:space="0" w:color="auto"/>
                <w:bottom w:val="none" w:sz="0" w:space="0" w:color="auto"/>
                <w:right w:val="none" w:sz="0" w:space="0" w:color="auto"/>
              </w:divBdr>
              <w:divsChild>
                <w:div w:id="396124843">
                  <w:marLeft w:val="0"/>
                  <w:marRight w:val="0"/>
                  <w:marTop w:val="0"/>
                  <w:marBottom w:val="0"/>
                  <w:divBdr>
                    <w:top w:val="none" w:sz="0" w:space="0" w:color="auto"/>
                    <w:left w:val="none" w:sz="0" w:space="0" w:color="auto"/>
                    <w:bottom w:val="none" w:sz="0" w:space="0" w:color="auto"/>
                    <w:right w:val="none" w:sz="0" w:space="0" w:color="auto"/>
                  </w:divBdr>
                </w:div>
              </w:divsChild>
            </w:div>
            <w:div w:id="1983849954">
              <w:marLeft w:val="0"/>
              <w:marRight w:val="0"/>
              <w:marTop w:val="72"/>
              <w:marBottom w:val="0"/>
              <w:divBdr>
                <w:top w:val="none" w:sz="0" w:space="0" w:color="auto"/>
                <w:left w:val="none" w:sz="0" w:space="0" w:color="auto"/>
                <w:bottom w:val="none" w:sz="0" w:space="0" w:color="auto"/>
                <w:right w:val="none" w:sz="0" w:space="0" w:color="auto"/>
              </w:divBdr>
              <w:divsChild>
                <w:div w:id="2112776793">
                  <w:marLeft w:val="0"/>
                  <w:marRight w:val="0"/>
                  <w:marTop w:val="0"/>
                  <w:marBottom w:val="0"/>
                  <w:divBdr>
                    <w:top w:val="none" w:sz="0" w:space="0" w:color="auto"/>
                    <w:left w:val="none" w:sz="0" w:space="0" w:color="auto"/>
                    <w:bottom w:val="none" w:sz="0" w:space="0" w:color="auto"/>
                    <w:right w:val="none" w:sz="0" w:space="0" w:color="auto"/>
                  </w:divBdr>
                </w:div>
              </w:divsChild>
            </w:div>
            <w:div w:id="990404492">
              <w:marLeft w:val="0"/>
              <w:marRight w:val="0"/>
              <w:marTop w:val="72"/>
              <w:marBottom w:val="0"/>
              <w:divBdr>
                <w:top w:val="none" w:sz="0" w:space="0" w:color="auto"/>
                <w:left w:val="none" w:sz="0" w:space="0" w:color="auto"/>
                <w:bottom w:val="none" w:sz="0" w:space="0" w:color="auto"/>
                <w:right w:val="none" w:sz="0" w:space="0" w:color="auto"/>
              </w:divBdr>
              <w:divsChild>
                <w:div w:id="1627276768">
                  <w:marLeft w:val="0"/>
                  <w:marRight w:val="0"/>
                  <w:marTop w:val="0"/>
                  <w:marBottom w:val="0"/>
                  <w:divBdr>
                    <w:top w:val="none" w:sz="0" w:space="0" w:color="auto"/>
                    <w:left w:val="none" w:sz="0" w:space="0" w:color="auto"/>
                    <w:bottom w:val="none" w:sz="0" w:space="0" w:color="auto"/>
                    <w:right w:val="none" w:sz="0" w:space="0" w:color="auto"/>
                  </w:divBdr>
                </w:div>
              </w:divsChild>
            </w:div>
            <w:div w:id="1209226288">
              <w:marLeft w:val="0"/>
              <w:marRight w:val="0"/>
              <w:marTop w:val="72"/>
              <w:marBottom w:val="0"/>
              <w:divBdr>
                <w:top w:val="none" w:sz="0" w:space="0" w:color="auto"/>
                <w:left w:val="none" w:sz="0" w:space="0" w:color="auto"/>
                <w:bottom w:val="none" w:sz="0" w:space="0" w:color="auto"/>
                <w:right w:val="none" w:sz="0" w:space="0" w:color="auto"/>
              </w:divBdr>
              <w:divsChild>
                <w:div w:id="637808872">
                  <w:marLeft w:val="0"/>
                  <w:marRight w:val="0"/>
                  <w:marTop w:val="0"/>
                  <w:marBottom w:val="0"/>
                  <w:divBdr>
                    <w:top w:val="none" w:sz="0" w:space="0" w:color="auto"/>
                    <w:left w:val="none" w:sz="0" w:space="0" w:color="auto"/>
                    <w:bottom w:val="none" w:sz="0" w:space="0" w:color="auto"/>
                    <w:right w:val="none" w:sz="0" w:space="0" w:color="auto"/>
                  </w:divBdr>
                </w:div>
              </w:divsChild>
            </w:div>
            <w:div w:id="1458256593">
              <w:marLeft w:val="0"/>
              <w:marRight w:val="0"/>
              <w:marTop w:val="72"/>
              <w:marBottom w:val="0"/>
              <w:divBdr>
                <w:top w:val="none" w:sz="0" w:space="0" w:color="auto"/>
                <w:left w:val="none" w:sz="0" w:space="0" w:color="auto"/>
                <w:bottom w:val="none" w:sz="0" w:space="0" w:color="auto"/>
                <w:right w:val="none" w:sz="0" w:space="0" w:color="auto"/>
              </w:divBdr>
              <w:divsChild>
                <w:div w:id="1177962459">
                  <w:marLeft w:val="0"/>
                  <w:marRight w:val="0"/>
                  <w:marTop w:val="0"/>
                  <w:marBottom w:val="0"/>
                  <w:divBdr>
                    <w:top w:val="none" w:sz="0" w:space="0" w:color="auto"/>
                    <w:left w:val="none" w:sz="0" w:space="0" w:color="auto"/>
                    <w:bottom w:val="none" w:sz="0" w:space="0" w:color="auto"/>
                    <w:right w:val="none" w:sz="0" w:space="0" w:color="auto"/>
                  </w:divBdr>
                </w:div>
                <w:div w:id="409234398">
                  <w:marLeft w:val="360"/>
                  <w:marRight w:val="0"/>
                  <w:marTop w:val="72"/>
                  <w:marBottom w:val="72"/>
                  <w:divBdr>
                    <w:top w:val="none" w:sz="0" w:space="0" w:color="auto"/>
                    <w:left w:val="none" w:sz="0" w:space="0" w:color="auto"/>
                    <w:bottom w:val="none" w:sz="0" w:space="0" w:color="auto"/>
                    <w:right w:val="none" w:sz="0" w:space="0" w:color="auto"/>
                  </w:divBdr>
                  <w:divsChild>
                    <w:div w:id="1218317994">
                      <w:marLeft w:val="0"/>
                      <w:marRight w:val="0"/>
                      <w:marTop w:val="0"/>
                      <w:marBottom w:val="0"/>
                      <w:divBdr>
                        <w:top w:val="none" w:sz="0" w:space="0" w:color="auto"/>
                        <w:left w:val="none" w:sz="0" w:space="0" w:color="auto"/>
                        <w:bottom w:val="none" w:sz="0" w:space="0" w:color="auto"/>
                        <w:right w:val="none" w:sz="0" w:space="0" w:color="auto"/>
                      </w:divBdr>
                    </w:div>
                  </w:divsChild>
                </w:div>
                <w:div w:id="1674843544">
                  <w:marLeft w:val="360"/>
                  <w:marRight w:val="0"/>
                  <w:marTop w:val="0"/>
                  <w:marBottom w:val="72"/>
                  <w:divBdr>
                    <w:top w:val="none" w:sz="0" w:space="0" w:color="auto"/>
                    <w:left w:val="none" w:sz="0" w:space="0" w:color="auto"/>
                    <w:bottom w:val="none" w:sz="0" w:space="0" w:color="auto"/>
                    <w:right w:val="none" w:sz="0" w:space="0" w:color="auto"/>
                  </w:divBdr>
                  <w:divsChild>
                    <w:div w:id="1308702876">
                      <w:marLeft w:val="0"/>
                      <w:marRight w:val="0"/>
                      <w:marTop w:val="0"/>
                      <w:marBottom w:val="0"/>
                      <w:divBdr>
                        <w:top w:val="none" w:sz="0" w:space="0" w:color="auto"/>
                        <w:left w:val="none" w:sz="0" w:space="0" w:color="auto"/>
                        <w:bottom w:val="none" w:sz="0" w:space="0" w:color="auto"/>
                        <w:right w:val="none" w:sz="0" w:space="0" w:color="auto"/>
                      </w:divBdr>
                    </w:div>
                  </w:divsChild>
                </w:div>
                <w:div w:id="1163861646">
                  <w:marLeft w:val="360"/>
                  <w:marRight w:val="0"/>
                  <w:marTop w:val="0"/>
                  <w:marBottom w:val="72"/>
                  <w:divBdr>
                    <w:top w:val="none" w:sz="0" w:space="0" w:color="auto"/>
                    <w:left w:val="none" w:sz="0" w:space="0" w:color="auto"/>
                    <w:bottom w:val="none" w:sz="0" w:space="0" w:color="auto"/>
                    <w:right w:val="none" w:sz="0" w:space="0" w:color="auto"/>
                  </w:divBdr>
                  <w:divsChild>
                    <w:div w:id="1813599580">
                      <w:marLeft w:val="0"/>
                      <w:marRight w:val="0"/>
                      <w:marTop w:val="0"/>
                      <w:marBottom w:val="0"/>
                      <w:divBdr>
                        <w:top w:val="none" w:sz="0" w:space="0" w:color="auto"/>
                        <w:left w:val="none" w:sz="0" w:space="0" w:color="auto"/>
                        <w:bottom w:val="none" w:sz="0" w:space="0" w:color="auto"/>
                        <w:right w:val="none" w:sz="0" w:space="0" w:color="auto"/>
                      </w:divBdr>
                    </w:div>
                  </w:divsChild>
                </w:div>
                <w:div w:id="1934587130">
                  <w:marLeft w:val="360"/>
                  <w:marRight w:val="0"/>
                  <w:marTop w:val="0"/>
                  <w:marBottom w:val="72"/>
                  <w:divBdr>
                    <w:top w:val="none" w:sz="0" w:space="0" w:color="auto"/>
                    <w:left w:val="none" w:sz="0" w:space="0" w:color="auto"/>
                    <w:bottom w:val="none" w:sz="0" w:space="0" w:color="auto"/>
                    <w:right w:val="none" w:sz="0" w:space="0" w:color="auto"/>
                  </w:divBdr>
                  <w:divsChild>
                    <w:div w:id="77432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839613">
      <w:bodyDiv w:val="1"/>
      <w:marLeft w:val="0"/>
      <w:marRight w:val="0"/>
      <w:marTop w:val="0"/>
      <w:marBottom w:val="0"/>
      <w:divBdr>
        <w:top w:val="none" w:sz="0" w:space="0" w:color="auto"/>
        <w:left w:val="none" w:sz="0" w:space="0" w:color="auto"/>
        <w:bottom w:val="none" w:sz="0" w:space="0" w:color="auto"/>
        <w:right w:val="none" w:sz="0" w:space="0" w:color="auto"/>
      </w:divBdr>
      <w:divsChild>
        <w:div w:id="1603142695">
          <w:marLeft w:val="0"/>
          <w:marRight w:val="0"/>
          <w:marTop w:val="72"/>
          <w:marBottom w:val="0"/>
          <w:divBdr>
            <w:top w:val="none" w:sz="0" w:space="0" w:color="auto"/>
            <w:left w:val="none" w:sz="0" w:space="0" w:color="auto"/>
            <w:bottom w:val="none" w:sz="0" w:space="0" w:color="auto"/>
            <w:right w:val="none" w:sz="0" w:space="0" w:color="auto"/>
          </w:divBdr>
        </w:div>
      </w:divsChild>
    </w:div>
    <w:div w:id="1497066881">
      <w:bodyDiv w:val="1"/>
      <w:marLeft w:val="0"/>
      <w:marRight w:val="0"/>
      <w:marTop w:val="0"/>
      <w:marBottom w:val="0"/>
      <w:divBdr>
        <w:top w:val="none" w:sz="0" w:space="0" w:color="auto"/>
        <w:left w:val="none" w:sz="0" w:space="0" w:color="auto"/>
        <w:bottom w:val="none" w:sz="0" w:space="0" w:color="auto"/>
        <w:right w:val="none" w:sz="0" w:space="0" w:color="auto"/>
      </w:divBdr>
      <w:divsChild>
        <w:div w:id="1611160244">
          <w:marLeft w:val="0"/>
          <w:marRight w:val="0"/>
          <w:marTop w:val="72"/>
          <w:marBottom w:val="0"/>
          <w:divBdr>
            <w:top w:val="none" w:sz="0" w:space="0" w:color="auto"/>
            <w:left w:val="none" w:sz="0" w:space="0" w:color="auto"/>
            <w:bottom w:val="none" w:sz="0" w:space="0" w:color="auto"/>
            <w:right w:val="none" w:sz="0" w:space="0" w:color="auto"/>
          </w:divBdr>
        </w:div>
      </w:divsChild>
    </w:div>
    <w:div w:id="1500845089">
      <w:bodyDiv w:val="1"/>
      <w:marLeft w:val="0"/>
      <w:marRight w:val="0"/>
      <w:marTop w:val="0"/>
      <w:marBottom w:val="0"/>
      <w:divBdr>
        <w:top w:val="none" w:sz="0" w:space="0" w:color="auto"/>
        <w:left w:val="none" w:sz="0" w:space="0" w:color="auto"/>
        <w:bottom w:val="none" w:sz="0" w:space="0" w:color="auto"/>
        <w:right w:val="none" w:sz="0" w:space="0" w:color="auto"/>
      </w:divBdr>
    </w:div>
    <w:div w:id="1508403761">
      <w:bodyDiv w:val="1"/>
      <w:marLeft w:val="0"/>
      <w:marRight w:val="0"/>
      <w:marTop w:val="0"/>
      <w:marBottom w:val="0"/>
      <w:divBdr>
        <w:top w:val="none" w:sz="0" w:space="0" w:color="auto"/>
        <w:left w:val="none" w:sz="0" w:space="0" w:color="auto"/>
        <w:bottom w:val="none" w:sz="0" w:space="0" w:color="auto"/>
        <w:right w:val="none" w:sz="0" w:space="0" w:color="auto"/>
      </w:divBdr>
      <w:divsChild>
        <w:div w:id="463473247">
          <w:marLeft w:val="0"/>
          <w:marRight w:val="0"/>
          <w:marTop w:val="72"/>
          <w:marBottom w:val="0"/>
          <w:divBdr>
            <w:top w:val="none" w:sz="0" w:space="0" w:color="auto"/>
            <w:left w:val="none" w:sz="0" w:space="0" w:color="auto"/>
            <w:bottom w:val="none" w:sz="0" w:space="0" w:color="auto"/>
            <w:right w:val="none" w:sz="0" w:space="0" w:color="auto"/>
          </w:divBdr>
          <w:divsChild>
            <w:div w:id="757679626">
              <w:marLeft w:val="0"/>
              <w:marRight w:val="0"/>
              <w:marTop w:val="0"/>
              <w:marBottom w:val="0"/>
              <w:divBdr>
                <w:top w:val="none" w:sz="0" w:space="0" w:color="auto"/>
                <w:left w:val="none" w:sz="0" w:space="0" w:color="auto"/>
                <w:bottom w:val="none" w:sz="0" w:space="0" w:color="auto"/>
                <w:right w:val="none" w:sz="0" w:space="0" w:color="auto"/>
              </w:divBdr>
            </w:div>
          </w:divsChild>
        </w:div>
        <w:div w:id="447089177">
          <w:marLeft w:val="0"/>
          <w:marRight w:val="0"/>
          <w:marTop w:val="72"/>
          <w:marBottom w:val="0"/>
          <w:divBdr>
            <w:top w:val="none" w:sz="0" w:space="0" w:color="auto"/>
            <w:left w:val="none" w:sz="0" w:space="0" w:color="auto"/>
            <w:bottom w:val="none" w:sz="0" w:space="0" w:color="auto"/>
            <w:right w:val="none" w:sz="0" w:space="0" w:color="auto"/>
          </w:divBdr>
          <w:divsChild>
            <w:div w:id="19063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30537">
      <w:bodyDiv w:val="1"/>
      <w:marLeft w:val="0"/>
      <w:marRight w:val="0"/>
      <w:marTop w:val="0"/>
      <w:marBottom w:val="0"/>
      <w:divBdr>
        <w:top w:val="none" w:sz="0" w:space="0" w:color="auto"/>
        <w:left w:val="none" w:sz="0" w:space="0" w:color="auto"/>
        <w:bottom w:val="none" w:sz="0" w:space="0" w:color="auto"/>
        <w:right w:val="none" w:sz="0" w:space="0" w:color="auto"/>
      </w:divBdr>
    </w:div>
    <w:div w:id="1522470599">
      <w:bodyDiv w:val="1"/>
      <w:marLeft w:val="0"/>
      <w:marRight w:val="0"/>
      <w:marTop w:val="0"/>
      <w:marBottom w:val="0"/>
      <w:divBdr>
        <w:top w:val="none" w:sz="0" w:space="0" w:color="auto"/>
        <w:left w:val="none" w:sz="0" w:space="0" w:color="auto"/>
        <w:bottom w:val="none" w:sz="0" w:space="0" w:color="auto"/>
        <w:right w:val="none" w:sz="0" w:space="0" w:color="auto"/>
      </w:divBdr>
      <w:divsChild>
        <w:div w:id="824975114">
          <w:marLeft w:val="0"/>
          <w:marRight w:val="0"/>
          <w:marTop w:val="72"/>
          <w:marBottom w:val="0"/>
          <w:divBdr>
            <w:top w:val="none" w:sz="0" w:space="0" w:color="auto"/>
            <w:left w:val="none" w:sz="0" w:space="0" w:color="auto"/>
            <w:bottom w:val="none" w:sz="0" w:space="0" w:color="auto"/>
            <w:right w:val="none" w:sz="0" w:space="0" w:color="auto"/>
          </w:divBdr>
        </w:div>
      </w:divsChild>
    </w:div>
    <w:div w:id="1569462165">
      <w:bodyDiv w:val="1"/>
      <w:marLeft w:val="0"/>
      <w:marRight w:val="0"/>
      <w:marTop w:val="0"/>
      <w:marBottom w:val="0"/>
      <w:divBdr>
        <w:top w:val="none" w:sz="0" w:space="0" w:color="auto"/>
        <w:left w:val="none" w:sz="0" w:space="0" w:color="auto"/>
        <w:bottom w:val="none" w:sz="0" w:space="0" w:color="auto"/>
        <w:right w:val="none" w:sz="0" w:space="0" w:color="auto"/>
      </w:divBdr>
      <w:divsChild>
        <w:div w:id="1975602988">
          <w:marLeft w:val="0"/>
          <w:marRight w:val="0"/>
          <w:marTop w:val="72"/>
          <w:marBottom w:val="0"/>
          <w:divBdr>
            <w:top w:val="none" w:sz="0" w:space="0" w:color="auto"/>
            <w:left w:val="none" w:sz="0" w:space="0" w:color="auto"/>
            <w:bottom w:val="none" w:sz="0" w:space="0" w:color="auto"/>
            <w:right w:val="none" w:sz="0" w:space="0" w:color="auto"/>
          </w:divBdr>
        </w:div>
      </w:divsChild>
    </w:div>
    <w:div w:id="1616673887">
      <w:bodyDiv w:val="1"/>
      <w:marLeft w:val="0"/>
      <w:marRight w:val="0"/>
      <w:marTop w:val="0"/>
      <w:marBottom w:val="0"/>
      <w:divBdr>
        <w:top w:val="none" w:sz="0" w:space="0" w:color="auto"/>
        <w:left w:val="none" w:sz="0" w:space="0" w:color="auto"/>
        <w:bottom w:val="none" w:sz="0" w:space="0" w:color="auto"/>
        <w:right w:val="none" w:sz="0" w:space="0" w:color="auto"/>
      </w:divBdr>
      <w:divsChild>
        <w:div w:id="787190">
          <w:marLeft w:val="0"/>
          <w:marRight w:val="0"/>
          <w:marTop w:val="72"/>
          <w:marBottom w:val="0"/>
          <w:divBdr>
            <w:top w:val="none" w:sz="0" w:space="0" w:color="auto"/>
            <w:left w:val="none" w:sz="0" w:space="0" w:color="auto"/>
            <w:bottom w:val="none" w:sz="0" w:space="0" w:color="auto"/>
            <w:right w:val="none" w:sz="0" w:space="0" w:color="auto"/>
          </w:divBdr>
          <w:divsChild>
            <w:div w:id="969869983">
              <w:marLeft w:val="0"/>
              <w:marRight w:val="0"/>
              <w:marTop w:val="0"/>
              <w:marBottom w:val="0"/>
              <w:divBdr>
                <w:top w:val="none" w:sz="0" w:space="0" w:color="auto"/>
                <w:left w:val="none" w:sz="0" w:space="0" w:color="auto"/>
                <w:bottom w:val="none" w:sz="0" w:space="0" w:color="auto"/>
                <w:right w:val="none" w:sz="0" w:space="0" w:color="auto"/>
              </w:divBdr>
            </w:div>
          </w:divsChild>
        </w:div>
        <w:div w:id="940334182">
          <w:marLeft w:val="0"/>
          <w:marRight w:val="0"/>
          <w:marTop w:val="72"/>
          <w:marBottom w:val="0"/>
          <w:divBdr>
            <w:top w:val="none" w:sz="0" w:space="0" w:color="auto"/>
            <w:left w:val="none" w:sz="0" w:space="0" w:color="auto"/>
            <w:bottom w:val="none" w:sz="0" w:space="0" w:color="auto"/>
            <w:right w:val="none" w:sz="0" w:space="0" w:color="auto"/>
          </w:divBdr>
          <w:divsChild>
            <w:div w:id="263618183">
              <w:marLeft w:val="0"/>
              <w:marRight w:val="0"/>
              <w:marTop w:val="0"/>
              <w:marBottom w:val="0"/>
              <w:divBdr>
                <w:top w:val="none" w:sz="0" w:space="0" w:color="auto"/>
                <w:left w:val="none" w:sz="0" w:space="0" w:color="auto"/>
                <w:bottom w:val="none" w:sz="0" w:space="0" w:color="auto"/>
                <w:right w:val="none" w:sz="0" w:space="0" w:color="auto"/>
              </w:divBdr>
            </w:div>
          </w:divsChild>
        </w:div>
        <w:div w:id="1453404093">
          <w:marLeft w:val="0"/>
          <w:marRight w:val="0"/>
          <w:marTop w:val="72"/>
          <w:marBottom w:val="0"/>
          <w:divBdr>
            <w:top w:val="none" w:sz="0" w:space="0" w:color="auto"/>
            <w:left w:val="none" w:sz="0" w:space="0" w:color="auto"/>
            <w:bottom w:val="none" w:sz="0" w:space="0" w:color="auto"/>
            <w:right w:val="none" w:sz="0" w:space="0" w:color="auto"/>
          </w:divBdr>
          <w:divsChild>
            <w:div w:id="1620719031">
              <w:marLeft w:val="0"/>
              <w:marRight w:val="0"/>
              <w:marTop w:val="0"/>
              <w:marBottom w:val="0"/>
              <w:divBdr>
                <w:top w:val="none" w:sz="0" w:space="0" w:color="auto"/>
                <w:left w:val="none" w:sz="0" w:space="0" w:color="auto"/>
                <w:bottom w:val="none" w:sz="0" w:space="0" w:color="auto"/>
                <w:right w:val="none" w:sz="0" w:space="0" w:color="auto"/>
              </w:divBdr>
            </w:div>
          </w:divsChild>
        </w:div>
        <w:div w:id="1670254613">
          <w:marLeft w:val="0"/>
          <w:marRight w:val="0"/>
          <w:marTop w:val="72"/>
          <w:marBottom w:val="0"/>
          <w:divBdr>
            <w:top w:val="none" w:sz="0" w:space="0" w:color="auto"/>
            <w:left w:val="none" w:sz="0" w:space="0" w:color="auto"/>
            <w:bottom w:val="none" w:sz="0" w:space="0" w:color="auto"/>
            <w:right w:val="none" w:sz="0" w:space="0" w:color="auto"/>
          </w:divBdr>
          <w:divsChild>
            <w:div w:id="129248608">
              <w:marLeft w:val="0"/>
              <w:marRight w:val="0"/>
              <w:marTop w:val="0"/>
              <w:marBottom w:val="0"/>
              <w:divBdr>
                <w:top w:val="none" w:sz="0" w:space="0" w:color="auto"/>
                <w:left w:val="none" w:sz="0" w:space="0" w:color="auto"/>
                <w:bottom w:val="none" w:sz="0" w:space="0" w:color="auto"/>
                <w:right w:val="none" w:sz="0" w:space="0" w:color="auto"/>
              </w:divBdr>
            </w:div>
          </w:divsChild>
        </w:div>
        <w:div w:id="971517778">
          <w:marLeft w:val="0"/>
          <w:marRight w:val="0"/>
          <w:marTop w:val="72"/>
          <w:marBottom w:val="0"/>
          <w:divBdr>
            <w:top w:val="none" w:sz="0" w:space="0" w:color="auto"/>
            <w:left w:val="none" w:sz="0" w:space="0" w:color="auto"/>
            <w:bottom w:val="none" w:sz="0" w:space="0" w:color="auto"/>
            <w:right w:val="none" w:sz="0" w:space="0" w:color="auto"/>
          </w:divBdr>
          <w:divsChild>
            <w:div w:id="51730860">
              <w:marLeft w:val="0"/>
              <w:marRight w:val="0"/>
              <w:marTop w:val="0"/>
              <w:marBottom w:val="0"/>
              <w:divBdr>
                <w:top w:val="none" w:sz="0" w:space="0" w:color="auto"/>
                <w:left w:val="none" w:sz="0" w:space="0" w:color="auto"/>
                <w:bottom w:val="none" w:sz="0" w:space="0" w:color="auto"/>
                <w:right w:val="none" w:sz="0" w:space="0" w:color="auto"/>
              </w:divBdr>
            </w:div>
          </w:divsChild>
        </w:div>
        <w:div w:id="1596984628">
          <w:marLeft w:val="0"/>
          <w:marRight w:val="0"/>
          <w:marTop w:val="72"/>
          <w:marBottom w:val="0"/>
          <w:divBdr>
            <w:top w:val="none" w:sz="0" w:space="0" w:color="auto"/>
            <w:left w:val="none" w:sz="0" w:space="0" w:color="auto"/>
            <w:bottom w:val="none" w:sz="0" w:space="0" w:color="auto"/>
            <w:right w:val="none" w:sz="0" w:space="0" w:color="auto"/>
          </w:divBdr>
          <w:divsChild>
            <w:div w:id="2061707546">
              <w:marLeft w:val="0"/>
              <w:marRight w:val="0"/>
              <w:marTop w:val="0"/>
              <w:marBottom w:val="0"/>
              <w:divBdr>
                <w:top w:val="none" w:sz="0" w:space="0" w:color="auto"/>
                <w:left w:val="none" w:sz="0" w:space="0" w:color="auto"/>
                <w:bottom w:val="none" w:sz="0" w:space="0" w:color="auto"/>
                <w:right w:val="none" w:sz="0" w:space="0" w:color="auto"/>
              </w:divBdr>
            </w:div>
          </w:divsChild>
        </w:div>
        <w:div w:id="505559663">
          <w:marLeft w:val="0"/>
          <w:marRight w:val="0"/>
          <w:marTop w:val="72"/>
          <w:marBottom w:val="0"/>
          <w:divBdr>
            <w:top w:val="none" w:sz="0" w:space="0" w:color="auto"/>
            <w:left w:val="none" w:sz="0" w:space="0" w:color="auto"/>
            <w:bottom w:val="none" w:sz="0" w:space="0" w:color="auto"/>
            <w:right w:val="none" w:sz="0" w:space="0" w:color="auto"/>
          </w:divBdr>
          <w:divsChild>
            <w:div w:id="40241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86715">
      <w:bodyDiv w:val="1"/>
      <w:marLeft w:val="0"/>
      <w:marRight w:val="0"/>
      <w:marTop w:val="0"/>
      <w:marBottom w:val="0"/>
      <w:divBdr>
        <w:top w:val="none" w:sz="0" w:space="0" w:color="auto"/>
        <w:left w:val="none" w:sz="0" w:space="0" w:color="auto"/>
        <w:bottom w:val="none" w:sz="0" w:space="0" w:color="auto"/>
        <w:right w:val="none" w:sz="0" w:space="0" w:color="auto"/>
      </w:divBdr>
    </w:div>
    <w:div w:id="1649089706">
      <w:bodyDiv w:val="1"/>
      <w:marLeft w:val="0"/>
      <w:marRight w:val="0"/>
      <w:marTop w:val="0"/>
      <w:marBottom w:val="0"/>
      <w:divBdr>
        <w:top w:val="none" w:sz="0" w:space="0" w:color="auto"/>
        <w:left w:val="none" w:sz="0" w:space="0" w:color="auto"/>
        <w:bottom w:val="none" w:sz="0" w:space="0" w:color="auto"/>
        <w:right w:val="none" w:sz="0" w:space="0" w:color="auto"/>
      </w:divBdr>
    </w:div>
    <w:div w:id="1669286943">
      <w:bodyDiv w:val="1"/>
      <w:marLeft w:val="0"/>
      <w:marRight w:val="0"/>
      <w:marTop w:val="0"/>
      <w:marBottom w:val="0"/>
      <w:divBdr>
        <w:top w:val="none" w:sz="0" w:space="0" w:color="auto"/>
        <w:left w:val="none" w:sz="0" w:space="0" w:color="auto"/>
        <w:bottom w:val="none" w:sz="0" w:space="0" w:color="auto"/>
        <w:right w:val="none" w:sz="0" w:space="0" w:color="auto"/>
      </w:divBdr>
    </w:div>
    <w:div w:id="1676029463">
      <w:bodyDiv w:val="1"/>
      <w:marLeft w:val="0"/>
      <w:marRight w:val="0"/>
      <w:marTop w:val="0"/>
      <w:marBottom w:val="0"/>
      <w:divBdr>
        <w:top w:val="none" w:sz="0" w:space="0" w:color="auto"/>
        <w:left w:val="none" w:sz="0" w:space="0" w:color="auto"/>
        <w:bottom w:val="none" w:sz="0" w:space="0" w:color="auto"/>
        <w:right w:val="none" w:sz="0" w:space="0" w:color="auto"/>
      </w:divBdr>
    </w:div>
    <w:div w:id="1709799093">
      <w:bodyDiv w:val="1"/>
      <w:marLeft w:val="0"/>
      <w:marRight w:val="0"/>
      <w:marTop w:val="0"/>
      <w:marBottom w:val="0"/>
      <w:divBdr>
        <w:top w:val="none" w:sz="0" w:space="0" w:color="auto"/>
        <w:left w:val="none" w:sz="0" w:space="0" w:color="auto"/>
        <w:bottom w:val="none" w:sz="0" w:space="0" w:color="auto"/>
        <w:right w:val="none" w:sz="0" w:space="0" w:color="auto"/>
      </w:divBdr>
      <w:divsChild>
        <w:div w:id="833447018">
          <w:marLeft w:val="0"/>
          <w:marRight w:val="0"/>
          <w:marTop w:val="72"/>
          <w:marBottom w:val="0"/>
          <w:divBdr>
            <w:top w:val="none" w:sz="0" w:space="0" w:color="auto"/>
            <w:left w:val="none" w:sz="0" w:space="0" w:color="auto"/>
            <w:bottom w:val="none" w:sz="0" w:space="0" w:color="auto"/>
            <w:right w:val="none" w:sz="0" w:space="0" w:color="auto"/>
          </w:divBdr>
        </w:div>
      </w:divsChild>
    </w:div>
    <w:div w:id="1743215209">
      <w:bodyDiv w:val="1"/>
      <w:marLeft w:val="0"/>
      <w:marRight w:val="0"/>
      <w:marTop w:val="0"/>
      <w:marBottom w:val="0"/>
      <w:divBdr>
        <w:top w:val="none" w:sz="0" w:space="0" w:color="auto"/>
        <w:left w:val="none" w:sz="0" w:space="0" w:color="auto"/>
        <w:bottom w:val="none" w:sz="0" w:space="0" w:color="auto"/>
        <w:right w:val="none" w:sz="0" w:space="0" w:color="auto"/>
      </w:divBdr>
    </w:div>
    <w:div w:id="1774544434">
      <w:bodyDiv w:val="1"/>
      <w:marLeft w:val="0"/>
      <w:marRight w:val="0"/>
      <w:marTop w:val="0"/>
      <w:marBottom w:val="0"/>
      <w:divBdr>
        <w:top w:val="none" w:sz="0" w:space="0" w:color="auto"/>
        <w:left w:val="none" w:sz="0" w:space="0" w:color="auto"/>
        <w:bottom w:val="none" w:sz="0" w:space="0" w:color="auto"/>
        <w:right w:val="none" w:sz="0" w:space="0" w:color="auto"/>
      </w:divBdr>
      <w:divsChild>
        <w:div w:id="280647759">
          <w:marLeft w:val="0"/>
          <w:marRight w:val="0"/>
          <w:marTop w:val="0"/>
          <w:marBottom w:val="240"/>
          <w:divBdr>
            <w:top w:val="none" w:sz="0" w:space="0" w:color="auto"/>
            <w:left w:val="none" w:sz="0" w:space="0" w:color="auto"/>
            <w:bottom w:val="none" w:sz="0" w:space="0" w:color="auto"/>
            <w:right w:val="none" w:sz="0" w:space="0" w:color="auto"/>
          </w:divBdr>
        </w:div>
      </w:divsChild>
    </w:div>
    <w:div w:id="1781603389">
      <w:bodyDiv w:val="1"/>
      <w:marLeft w:val="0"/>
      <w:marRight w:val="0"/>
      <w:marTop w:val="0"/>
      <w:marBottom w:val="0"/>
      <w:divBdr>
        <w:top w:val="none" w:sz="0" w:space="0" w:color="auto"/>
        <w:left w:val="none" w:sz="0" w:space="0" w:color="auto"/>
        <w:bottom w:val="none" w:sz="0" w:space="0" w:color="auto"/>
        <w:right w:val="none" w:sz="0" w:space="0" w:color="auto"/>
      </w:divBdr>
      <w:divsChild>
        <w:div w:id="866135149">
          <w:marLeft w:val="0"/>
          <w:marRight w:val="0"/>
          <w:marTop w:val="72"/>
          <w:marBottom w:val="0"/>
          <w:divBdr>
            <w:top w:val="none" w:sz="0" w:space="0" w:color="auto"/>
            <w:left w:val="none" w:sz="0" w:space="0" w:color="auto"/>
            <w:bottom w:val="none" w:sz="0" w:space="0" w:color="auto"/>
            <w:right w:val="none" w:sz="0" w:space="0" w:color="auto"/>
          </w:divBdr>
          <w:divsChild>
            <w:div w:id="1366716802">
              <w:marLeft w:val="0"/>
              <w:marRight w:val="0"/>
              <w:marTop w:val="0"/>
              <w:marBottom w:val="0"/>
              <w:divBdr>
                <w:top w:val="none" w:sz="0" w:space="0" w:color="auto"/>
                <w:left w:val="none" w:sz="0" w:space="0" w:color="auto"/>
                <w:bottom w:val="none" w:sz="0" w:space="0" w:color="auto"/>
                <w:right w:val="none" w:sz="0" w:space="0" w:color="auto"/>
              </w:divBdr>
            </w:div>
          </w:divsChild>
        </w:div>
        <w:div w:id="1180895161">
          <w:marLeft w:val="0"/>
          <w:marRight w:val="0"/>
          <w:marTop w:val="72"/>
          <w:marBottom w:val="0"/>
          <w:divBdr>
            <w:top w:val="none" w:sz="0" w:space="0" w:color="auto"/>
            <w:left w:val="none" w:sz="0" w:space="0" w:color="auto"/>
            <w:bottom w:val="none" w:sz="0" w:space="0" w:color="auto"/>
            <w:right w:val="none" w:sz="0" w:space="0" w:color="auto"/>
          </w:divBdr>
          <w:divsChild>
            <w:div w:id="1801143459">
              <w:marLeft w:val="0"/>
              <w:marRight w:val="0"/>
              <w:marTop w:val="0"/>
              <w:marBottom w:val="0"/>
              <w:divBdr>
                <w:top w:val="none" w:sz="0" w:space="0" w:color="auto"/>
                <w:left w:val="none" w:sz="0" w:space="0" w:color="auto"/>
                <w:bottom w:val="none" w:sz="0" w:space="0" w:color="auto"/>
                <w:right w:val="none" w:sz="0" w:space="0" w:color="auto"/>
              </w:divBdr>
            </w:div>
          </w:divsChild>
        </w:div>
        <w:div w:id="1493061908">
          <w:marLeft w:val="0"/>
          <w:marRight w:val="0"/>
          <w:marTop w:val="72"/>
          <w:marBottom w:val="0"/>
          <w:divBdr>
            <w:top w:val="none" w:sz="0" w:space="0" w:color="auto"/>
            <w:left w:val="none" w:sz="0" w:space="0" w:color="auto"/>
            <w:bottom w:val="none" w:sz="0" w:space="0" w:color="auto"/>
            <w:right w:val="none" w:sz="0" w:space="0" w:color="auto"/>
          </w:divBdr>
          <w:divsChild>
            <w:div w:id="1261914523">
              <w:marLeft w:val="0"/>
              <w:marRight w:val="0"/>
              <w:marTop w:val="0"/>
              <w:marBottom w:val="0"/>
              <w:divBdr>
                <w:top w:val="none" w:sz="0" w:space="0" w:color="auto"/>
                <w:left w:val="none" w:sz="0" w:space="0" w:color="auto"/>
                <w:bottom w:val="none" w:sz="0" w:space="0" w:color="auto"/>
                <w:right w:val="none" w:sz="0" w:space="0" w:color="auto"/>
              </w:divBdr>
            </w:div>
          </w:divsChild>
        </w:div>
        <w:div w:id="1030031938">
          <w:marLeft w:val="0"/>
          <w:marRight w:val="0"/>
          <w:marTop w:val="72"/>
          <w:marBottom w:val="0"/>
          <w:divBdr>
            <w:top w:val="none" w:sz="0" w:space="0" w:color="auto"/>
            <w:left w:val="none" w:sz="0" w:space="0" w:color="auto"/>
            <w:bottom w:val="none" w:sz="0" w:space="0" w:color="auto"/>
            <w:right w:val="none" w:sz="0" w:space="0" w:color="auto"/>
          </w:divBdr>
          <w:divsChild>
            <w:div w:id="60174164">
              <w:marLeft w:val="0"/>
              <w:marRight w:val="0"/>
              <w:marTop w:val="0"/>
              <w:marBottom w:val="0"/>
              <w:divBdr>
                <w:top w:val="none" w:sz="0" w:space="0" w:color="auto"/>
                <w:left w:val="none" w:sz="0" w:space="0" w:color="auto"/>
                <w:bottom w:val="none" w:sz="0" w:space="0" w:color="auto"/>
                <w:right w:val="none" w:sz="0" w:space="0" w:color="auto"/>
              </w:divBdr>
            </w:div>
          </w:divsChild>
        </w:div>
        <w:div w:id="76369792">
          <w:marLeft w:val="0"/>
          <w:marRight w:val="0"/>
          <w:marTop w:val="72"/>
          <w:marBottom w:val="0"/>
          <w:divBdr>
            <w:top w:val="none" w:sz="0" w:space="0" w:color="auto"/>
            <w:left w:val="none" w:sz="0" w:space="0" w:color="auto"/>
            <w:bottom w:val="none" w:sz="0" w:space="0" w:color="auto"/>
            <w:right w:val="none" w:sz="0" w:space="0" w:color="auto"/>
          </w:divBdr>
          <w:divsChild>
            <w:div w:id="356125346">
              <w:marLeft w:val="0"/>
              <w:marRight w:val="0"/>
              <w:marTop w:val="0"/>
              <w:marBottom w:val="0"/>
              <w:divBdr>
                <w:top w:val="none" w:sz="0" w:space="0" w:color="auto"/>
                <w:left w:val="none" w:sz="0" w:space="0" w:color="auto"/>
                <w:bottom w:val="none" w:sz="0" w:space="0" w:color="auto"/>
                <w:right w:val="none" w:sz="0" w:space="0" w:color="auto"/>
              </w:divBdr>
            </w:div>
          </w:divsChild>
        </w:div>
        <w:div w:id="1463039657">
          <w:marLeft w:val="0"/>
          <w:marRight w:val="0"/>
          <w:marTop w:val="72"/>
          <w:marBottom w:val="0"/>
          <w:divBdr>
            <w:top w:val="none" w:sz="0" w:space="0" w:color="auto"/>
            <w:left w:val="none" w:sz="0" w:space="0" w:color="auto"/>
            <w:bottom w:val="none" w:sz="0" w:space="0" w:color="auto"/>
            <w:right w:val="none" w:sz="0" w:space="0" w:color="auto"/>
          </w:divBdr>
          <w:divsChild>
            <w:div w:id="2052722521">
              <w:marLeft w:val="0"/>
              <w:marRight w:val="0"/>
              <w:marTop w:val="0"/>
              <w:marBottom w:val="0"/>
              <w:divBdr>
                <w:top w:val="none" w:sz="0" w:space="0" w:color="auto"/>
                <w:left w:val="none" w:sz="0" w:space="0" w:color="auto"/>
                <w:bottom w:val="none" w:sz="0" w:space="0" w:color="auto"/>
                <w:right w:val="none" w:sz="0" w:space="0" w:color="auto"/>
              </w:divBdr>
            </w:div>
          </w:divsChild>
        </w:div>
        <w:div w:id="1749692676">
          <w:marLeft w:val="0"/>
          <w:marRight w:val="0"/>
          <w:marTop w:val="72"/>
          <w:marBottom w:val="0"/>
          <w:divBdr>
            <w:top w:val="none" w:sz="0" w:space="0" w:color="auto"/>
            <w:left w:val="none" w:sz="0" w:space="0" w:color="auto"/>
            <w:bottom w:val="none" w:sz="0" w:space="0" w:color="auto"/>
            <w:right w:val="none" w:sz="0" w:space="0" w:color="auto"/>
          </w:divBdr>
          <w:divsChild>
            <w:div w:id="34020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73716">
      <w:bodyDiv w:val="1"/>
      <w:marLeft w:val="0"/>
      <w:marRight w:val="0"/>
      <w:marTop w:val="0"/>
      <w:marBottom w:val="0"/>
      <w:divBdr>
        <w:top w:val="none" w:sz="0" w:space="0" w:color="auto"/>
        <w:left w:val="none" w:sz="0" w:space="0" w:color="auto"/>
        <w:bottom w:val="none" w:sz="0" w:space="0" w:color="auto"/>
        <w:right w:val="none" w:sz="0" w:space="0" w:color="auto"/>
      </w:divBdr>
      <w:divsChild>
        <w:div w:id="450133687">
          <w:marLeft w:val="0"/>
          <w:marRight w:val="0"/>
          <w:marTop w:val="72"/>
          <w:marBottom w:val="0"/>
          <w:divBdr>
            <w:top w:val="none" w:sz="0" w:space="0" w:color="auto"/>
            <w:left w:val="none" w:sz="0" w:space="0" w:color="auto"/>
            <w:bottom w:val="none" w:sz="0" w:space="0" w:color="auto"/>
            <w:right w:val="none" w:sz="0" w:space="0" w:color="auto"/>
          </w:divBdr>
        </w:div>
      </w:divsChild>
    </w:div>
    <w:div w:id="1881090326">
      <w:bodyDiv w:val="1"/>
      <w:marLeft w:val="0"/>
      <w:marRight w:val="0"/>
      <w:marTop w:val="0"/>
      <w:marBottom w:val="0"/>
      <w:divBdr>
        <w:top w:val="none" w:sz="0" w:space="0" w:color="auto"/>
        <w:left w:val="none" w:sz="0" w:space="0" w:color="auto"/>
        <w:bottom w:val="none" w:sz="0" w:space="0" w:color="auto"/>
        <w:right w:val="none" w:sz="0" w:space="0" w:color="auto"/>
      </w:divBdr>
      <w:divsChild>
        <w:div w:id="390690720">
          <w:marLeft w:val="0"/>
          <w:marRight w:val="0"/>
          <w:marTop w:val="72"/>
          <w:marBottom w:val="0"/>
          <w:divBdr>
            <w:top w:val="none" w:sz="0" w:space="0" w:color="auto"/>
            <w:left w:val="none" w:sz="0" w:space="0" w:color="auto"/>
            <w:bottom w:val="none" w:sz="0" w:space="0" w:color="auto"/>
            <w:right w:val="none" w:sz="0" w:space="0" w:color="auto"/>
          </w:divBdr>
        </w:div>
      </w:divsChild>
    </w:div>
    <w:div w:id="1972243228">
      <w:bodyDiv w:val="1"/>
      <w:marLeft w:val="0"/>
      <w:marRight w:val="0"/>
      <w:marTop w:val="0"/>
      <w:marBottom w:val="0"/>
      <w:divBdr>
        <w:top w:val="none" w:sz="0" w:space="0" w:color="auto"/>
        <w:left w:val="none" w:sz="0" w:space="0" w:color="auto"/>
        <w:bottom w:val="none" w:sz="0" w:space="0" w:color="auto"/>
        <w:right w:val="none" w:sz="0" w:space="0" w:color="auto"/>
      </w:divBdr>
      <w:divsChild>
        <w:div w:id="697925450">
          <w:marLeft w:val="0"/>
          <w:marRight w:val="0"/>
          <w:marTop w:val="72"/>
          <w:marBottom w:val="0"/>
          <w:divBdr>
            <w:top w:val="none" w:sz="0" w:space="0" w:color="auto"/>
            <w:left w:val="none" w:sz="0" w:space="0" w:color="auto"/>
            <w:bottom w:val="none" w:sz="0" w:space="0" w:color="auto"/>
            <w:right w:val="none" w:sz="0" w:space="0" w:color="auto"/>
          </w:divBdr>
          <w:divsChild>
            <w:div w:id="700787406">
              <w:marLeft w:val="0"/>
              <w:marRight w:val="0"/>
              <w:marTop w:val="0"/>
              <w:marBottom w:val="0"/>
              <w:divBdr>
                <w:top w:val="none" w:sz="0" w:space="0" w:color="auto"/>
                <w:left w:val="none" w:sz="0" w:space="0" w:color="auto"/>
                <w:bottom w:val="none" w:sz="0" w:space="0" w:color="auto"/>
                <w:right w:val="none" w:sz="0" w:space="0" w:color="auto"/>
              </w:divBdr>
            </w:div>
          </w:divsChild>
        </w:div>
        <w:div w:id="585042814">
          <w:marLeft w:val="0"/>
          <w:marRight w:val="0"/>
          <w:marTop w:val="72"/>
          <w:marBottom w:val="0"/>
          <w:divBdr>
            <w:top w:val="none" w:sz="0" w:space="0" w:color="auto"/>
            <w:left w:val="none" w:sz="0" w:space="0" w:color="auto"/>
            <w:bottom w:val="none" w:sz="0" w:space="0" w:color="auto"/>
            <w:right w:val="none" w:sz="0" w:space="0" w:color="auto"/>
          </w:divBdr>
          <w:divsChild>
            <w:div w:id="14593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2133">
      <w:bodyDiv w:val="1"/>
      <w:marLeft w:val="0"/>
      <w:marRight w:val="0"/>
      <w:marTop w:val="0"/>
      <w:marBottom w:val="0"/>
      <w:divBdr>
        <w:top w:val="none" w:sz="0" w:space="0" w:color="auto"/>
        <w:left w:val="none" w:sz="0" w:space="0" w:color="auto"/>
        <w:bottom w:val="none" w:sz="0" w:space="0" w:color="auto"/>
        <w:right w:val="none" w:sz="0" w:space="0" w:color="auto"/>
      </w:divBdr>
      <w:divsChild>
        <w:div w:id="1077363556">
          <w:marLeft w:val="0"/>
          <w:marRight w:val="0"/>
          <w:marTop w:val="72"/>
          <w:marBottom w:val="0"/>
          <w:divBdr>
            <w:top w:val="none" w:sz="0" w:space="0" w:color="auto"/>
            <w:left w:val="none" w:sz="0" w:space="0" w:color="auto"/>
            <w:bottom w:val="none" w:sz="0" w:space="0" w:color="auto"/>
            <w:right w:val="none" w:sz="0" w:space="0" w:color="auto"/>
          </w:divBdr>
        </w:div>
      </w:divsChild>
    </w:div>
    <w:div w:id="2036223158">
      <w:bodyDiv w:val="1"/>
      <w:marLeft w:val="0"/>
      <w:marRight w:val="0"/>
      <w:marTop w:val="0"/>
      <w:marBottom w:val="0"/>
      <w:divBdr>
        <w:top w:val="none" w:sz="0" w:space="0" w:color="auto"/>
        <w:left w:val="none" w:sz="0" w:space="0" w:color="auto"/>
        <w:bottom w:val="none" w:sz="0" w:space="0" w:color="auto"/>
        <w:right w:val="none" w:sz="0" w:space="0" w:color="auto"/>
      </w:divBdr>
      <w:divsChild>
        <w:div w:id="1258632175">
          <w:marLeft w:val="0"/>
          <w:marRight w:val="0"/>
          <w:marTop w:val="0"/>
          <w:marBottom w:val="240"/>
          <w:divBdr>
            <w:top w:val="none" w:sz="0" w:space="0" w:color="auto"/>
            <w:left w:val="none" w:sz="0" w:space="0" w:color="auto"/>
            <w:bottom w:val="none" w:sz="0" w:space="0" w:color="auto"/>
            <w:right w:val="none" w:sz="0" w:space="0" w:color="auto"/>
          </w:divBdr>
          <w:divsChild>
            <w:div w:id="76842875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063672830">
      <w:bodyDiv w:val="1"/>
      <w:marLeft w:val="0"/>
      <w:marRight w:val="0"/>
      <w:marTop w:val="0"/>
      <w:marBottom w:val="0"/>
      <w:divBdr>
        <w:top w:val="none" w:sz="0" w:space="0" w:color="auto"/>
        <w:left w:val="none" w:sz="0" w:space="0" w:color="auto"/>
        <w:bottom w:val="none" w:sz="0" w:space="0" w:color="auto"/>
        <w:right w:val="none" w:sz="0" w:space="0" w:color="auto"/>
      </w:divBdr>
      <w:divsChild>
        <w:div w:id="898980477">
          <w:marLeft w:val="0"/>
          <w:marRight w:val="0"/>
          <w:marTop w:val="72"/>
          <w:marBottom w:val="0"/>
          <w:divBdr>
            <w:top w:val="none" w:sz="0" w:space="0" w:color="auto"/>
            <w:left w:val="none" w:sz="0" w:space="0" w:color="auto"/>
            <w:bottom w:val="none" w:sz="0" w:space="0" w:color="auto"/>
            <w:right w:val="none" w:sz="0" w:space="0" w:color="auto"/>
          </w:divBdr>
          <w:divsChild>
            <w:div w:id="1061294429">
              <w:marLeft w:val="0"/>
              <w:marRight w:val="0"/>
              <w:marTop w:val="0"/>
              <w:marBottom w:val="0"/>
              <w:divBdr>
                <w:top w:val="none" w:sz="0" w:space="0" w:color="auto"/>
                <w:left w:val="none" w:sz="0" w:space="0" w:color="auto"/>
                <w:bottom w:val="none" w:sz="0" w:space="0" w:color="auto"/>
                <w:right w:val="none" w:sz="0" w:space="0" w:color="auto"/>
              </w:divBdr>
            </w:div>
          </w:divsChild>
        </w:div>
        <w:div w:id="1650666088">
          <w:marLeft w:val="0"/>
          <w:marRight w:val="0"/>
          <w:marTop w:val="72"/>
          <w:marBottom w:val="0"/>
          <w:divBdr>
            <w:top w:val="none" w:sz="0" w:space="0" w:color="auto"/>
            <w:left w:val="none" w:sz="0" w:space="0" w:color="auto"/>
            <w:bottom w:val="none" w:sz="0" w:space="0" w:color="auto"/>
            <w:right w:val="none" w:sz="0" w:space="0" w:color="auto"/>
          </w:divBdr>
          <w:divsChild>
            <w:div w:id="2922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7487">
      <w:bodyDiv w:val="1"/>
      <w:marLeft w:val="0"/>
      <w:marRight w:val="0"/>
      <w:marTop w:val="0"/>
      <w:marBottom w:val="0"/>
      <w:divBdr>
        <w:top w:val="none" w:sz="0" w:space="0" w:color="auto"/>
        <w:left w:val="none" w:sz="0" w:space="0" w:color="auto"/>
        <w:bottom w:val="none" w:sz="0" w:space="0" w:color="auto"/>
        <w:right w:val="none" w:sz="0" w:space="0" w:color="auto"/>
      </w:divBdr>
      <w:divsChild>
        <w:div w:id="467557009">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cja.rcl.gov.pl/projekt/1239095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awellas@op.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11337</Words>
  <Characters>68026</Characters>
  <Application>Microsoft Office Word</Application>
  <DocSecurity>0</DocSecurity>
  <Lines>566</Lines>
  <Paragraphs>158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Pawellas</dc:creator>
  <cp:keywords/>
  <dc:description/>
  <cp:lastModifiedBy>Paweł Czarnecki</cp:lastModifiedBy>
  <cp:revision>2</cp:revision>
  <cp:lastPrinted>2022-12-20T13:56:00Z</cp:lastPrinted>
  <dcterms:created xsi:type="dcterms:W3CDTF">2024-12-10T13:31:00Z</dcterms:created>
  <dcterms:modified xsi:type="dcterms:W3CDTF">2024-12-10T13:31:00Z</dcterms:modified>
</cp:coreProperties>
</file>